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3A7" w:rsidRDefault="001463A7">
      <w:pPr>
        <w:pStyle w:val="Default"/>
        <w:jc w:val="center"/>
        <w:rPr>
          <w:sz w:val="56"/>
          <w:szCs w:val="56"/>
        </w:rPr>
      </w:pPr>
    </w:p>
    <w:p w:rsidR="001463A7" w:rsidRDefault="001463A7">
      <w:pPr>
        <w:pStyle w:val="Default"/>
        <w:jc w:val="center"/>
        <w:rPr>
          <w:sz w:val="56"/>
          <w:szCs w:val="56"/>
        </w:rPr>
      </w:pPr>
    </w:p>
    <w:p w:rsidR="001463A7" w:rsidRDefault="0090564B">
      <w:pPr>
        <w:pStyle w:val="Default"/>
        <w:jc w:val="center"/>
        <w:rPr>
          <w:sz w:val="96"/>
          <w:szCs w:val="96"/>
        </w:rPr>
      </w:pPr>
      <w:r>
        <w:rPr>
          <w:rFonts w:hint="eastAsia"/>
          <w:sz w:val="96"/>
          <w:szCs w:val="96"/>
        </w:rPr>
        <w:t>2020年度</w:t>
      </w:r>
    </w:p>
    <w:p w:rsidR="001463A7" w:rsidRDefault="001463A7">
      <w:pPr>
        <w:pStyle w:val="Default"/>
        <w:jc w:val="center"/>
        <w:rPr>
          <w:sz w:val="96"/>
          <w:szCs w:val="96"/>
        </w:rPr>
      </w:pPr>
    </w:p>
    <w:p w:rsidR="001463A7" w:rsidRDefault="0090564B">
      <w:pPr>
        <w:pStyle w:val="Default"/>
        <w:jc w:val="center"/>
        <w:rPr>
          <w:sz w:val="96"/>
          <w:szCs w:val="96"/>
        </w:rPr>
      </w:pPr>
      <w:r>
        <w:rPr>
          <w:rFonts w:hint="eastAsia"/>
          <w:sz w:val="96"/>
          <w:szCs w:val="96"/>
        </w:rPr>
        <w:t>湖南省新开铺强制</w:t>
      </w:r>
    </w:p>
    <w:p w:rsidR="001463A7" w:rsidRDefault="0090564B">
      <w:pPr>
        <w:pStyle w:val="Default"/>
        <w:jc w:val="center"/>
        <w:rPr>
          <w:sz w:val="96"/>
          <w:szCs w:val="96"/>
        </w:rPr>
      </w:pPr>
      <w:r>
        <w:rPr>
          <w:rFonts w:hint="eastAsia"/>
          <w:sz w:val="96"/>
          <w:szCs w:val="96"/>
        </w:rPr>
        <w:t>隔离戒毒所</w:t>
      </w:r>
    </w:p>
    <w:p w:rsidR="001463A7" w:rsidRDefault="001463A7">
      <w:pPr>
        <w:pStyle w:val="Default"/>
        <w:jc w:val="center"/>
        <w:rPr>
          <w:sz w:val="96"/>
          <w:szCs w:val="96"/>
        </w:rPr>
      </w:pPr>
    </w:p>
    <w:p w:rsidR="001463A7" w:rsidRDefault="0090564B">
      <w:pPr>
        <w:pStyle w:val="Default"/>
        <w:jc w:val="center"/>
        <w:rPr>
          <w:sz w:val="96"/>
          <w:szCs w:val="96"/>
        </w:rPr>
      </w:pPr>
      <w:r>
        <w:rPr>
          <w:rFonts w:hint="eastAsia"/>
          <w:sz w:val="96"/>
          <w:szCs w:val="96"/>
        </w:rPr>
        <w:t>单位决算</w:t>
      </w:r>
    </w:p>
    <w:p w:rsidR="001463A7" w:rsidRDefault="001463A7">
      <w:pPr>
        <w:pStyle w:val="Default"/>
        <w:jc w:val="center"/>
        <w:rPr>
          <w:sz w:val="56"/>
          <w:szCs w:val="56"/>
        </w:rPr>
      </w:pPr>
    </w:p>
    <w:p w:rsidR="001463A7" w:rsidRDefault="001463A7">
      <w:pPr>
        <w:pStyle w:val="Default"/>
        <w:jc w:val="center"/>
        <w:rPr>
          <w:sz w:val="56"/>
          <w:szCs w:val="56"/>
        </w:rPr>
      </w:pPr>
    </w:p>
    <w:p w:rsidR="001463A7" w:rsidRDefault="001463A7">
      <w:pPr>
        <w:pStyle w:val="Default"/>
        <w:jc w:val="center"/>
        <w:rPr>
          <w:sz w:val="56"/>
          <w:szCs w:val="56"/>
        </w:rPr>
      </w:pPr>
    </w:p>
    <w:p w:rsidR="001463A7" w:rsidRDefault="001463A7">
      <w:pPr>
        <w:pStyle w:val="Default"/>
        <w:jc w:val="center"/>
        <w:rPr>
          <w:sz w:val="56"/>
          <w:szCs w:val="56"/>
        </w:rPr>
      </w:pPr>
    </w:p>
    <w:p w:rsidR="001463A7" w:rsidRDefault="001463A7">
      <w:pPr>
        <w:pStyle w:val="Default"/>
        <w:jc w:val="center"/>
        <w:rPr>
          <w:sz w:val="56"/>
          <w:szCs w:val="56"/>
        </w:rPr>
      </w:pPr>
    </w:p>
    <w:p w:rsidR="001463A7" w:rsidRDefault="001463A7">
      <w:pPr>
        <w:pStyle w:val="Default"/>
        <w:jc w:val="center"/>
        <w:rPr>
          <w:sz w:val="32"/>
          <w:szCs w:val="32"/>
        </w:rPr>
      </w:pPr>
    </w:p>
    <w:p w:rsidR="001463A7" w:rsidRDefault="0090564B">
      <w:pPr>
        <w:pStyle w:val="Default"/>
        <w:spacing w:line="500" w:lineRule="exact"/>
        <w:jc w:val="center"/>
        <w:rPr>
          <w:b/>
          <w:sz w:val="36"/>
          <w:szCs w:val="28"/>
        </w:rPr>
      </w:pPr>
      <w:r>
        <w:rPr>
          <w:rFonts w:hint="eastAsia"/>
          <w:b/>
          <w:sz w:val="36"/>
          <w:szCs w:val="28"/>
        </w:rPr>
        <w:lastRenderedPageBreak/>
        <w:t>目录</w:t>
      </w:r>
    </w:p>
    <w:p w:rsidR="001463A7" w:rsidRDefault="0090564B">
      <w:pPr>
        <w:pStyle w:val="Default"/>
        <w:spacing w:line="480" w:lineRule="exact"/>
        <w:rPr>
          <w:rFonts w:ascii="仿宋_GB2312" w:hAnsi="仿宋_GB2312" w:cs="仿宋_GB2312"/>
          <w:b/>
          <w:sz w:val="28"/>
          <w:szCs w:val="28"/>
        </w:rPr>
      </w:pPr>
      <w:r>
        <w:rPr>
          <w:rFonts w:hint="eastAsia"/>
          <w:b/>
          <w:sz w:val="28"/>
          <w:szCs w:val="28"/>
        </w:rPr>
        <w:t>第一部分 单位概况</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1463A7" w:rsidRDefault="0090564B">
      <w:pPr>
        <w:pStyle w:val="Default"/>
        <w:spacing w:line="480" w:lineRule="exact"/>
        <w:rPr>
          <w:rFonts w:ascii="仿宋_GB2312" w:hAnsi="仿宋_GB2312" w:cs="仿宋_GB2312"/>
          <w:b/>
          <w:sz w:val="28"/>
          <w:szCs w:val="28"/>
        </w:rPr>
      </w:pPr>
      <w:r>
        <w:rPr>
          <w:rFonts w:hAnsi="仿宋_GB2312" w:hint="eastAsia"/>
          <w:b/>
          <w:sz w:val="28"/>
          <w:szCs w:val="28"/>
        </w:rPr>
        <w:t xml:space="preserve">第二部分 </w:t>
      </w:r>
      <w:r>
        <w:rPr>
          <w:rFonts w:hAnsi="仿宋_GB2312"/>
          <w:b/>
          <w:sz w:val="28"/>
          <w:szCs w:val="28"/>
        </w:rPr>
        <w:t>20</w:t>
      </w:r>
      <w:r>
        <w:rPr>
          <w:rFonts w:hAnsi="仿宋_GB2312" w:hint="eastAsia"/>
          <w:b/>
          <w:sz w:val="28"/>
          <w:szCs w:val="28"/>
        </w:rPr>
        <w:t>20年度单位决算表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1463A7" w:rsidRDefault="0090564B">
      <w:pPr>
        <w:pStyle w:val="Default"/>
        <w:spacing w:line="480" w:lineRule="exact"/>
        <w:rPr>
          <w:rFonts w:ascii="仿宋_GB2312" w:hAnsi="仿宋_GB2312" w:cs="仿宋_GB2312"/>
          <w:b/>
          <w:sz w:val="28"/>
          <w:szCs w:val="28"/>
        </w:rPr>
      </w:pPr>
      <w:r>
        <w:rPr>
          <w:rFonts w:hAnsi="仿宋_GB2312" w:hint="eastAsia"/>
          <w:b/>
          <w:sz w:val="28"/>
          <w:szCs w:val="28"/>
        </w:rPr>
        <w:t xml:space="preserve">第三部分 </w:t>
      </w:r>
      <w:r>
        <w:rPr>
          <w:rFonts w:hAnsi="仿宋_GB2312"/>
          <w:b/>
          <w:sz w:val="28"/>
          <w:szCs w:val="28"/>
        </w:rPr>
        <w:t>20</w:t>
      </w:r>
      <w:r>
        <w:rPr>
          <w:rFonts w:hAnsi="仿宋_GB2312" w:hint="eastAsia"/>
          <w:b/>
          <w:sz w:val="28"/>
          <w:szCs w:val="28"/>
        </w:rPr>
        <w:t>20年度单位决算情况说明</w:t>
      </w:r>
    </w:p>
    <w:p w:rsidR="001463A7" w:rsidRDefault="0090564B">
      <w:pPr>
        <w:pStyle w:val="Default"/>
        <w:spacing w:line="48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1463A7" w:rsidRDefault="0090564B">
      <w:pPr>
        <w:spacing w:line="48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1463A7" w:rsidRDefault="0090564B">
      <w:pPr>
        <w:autoSpaceDE w:val="0"/>
        <w:autoSpaceDN w:val="0"/>
        <w:adjustRightInd w:val="0"/>
        <w:spacing w:line="48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1463A7" w:rsidRDefault="0090564B">
      <w:pPr>
        <w:pStyle w:val="Default"/>
        <w:spacing w:line="48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1463A7" w:rsidRDefault="0090564B">
      <w:pPr>
        <w:pStyle w:val="Default"/>
        <w:spacing w:line="48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1463A7" w:rsidRDefault="0090564B">
      <w:pPr>
        <w:autoSpaceDE w:val="0"/>
        <w:autoSpaceDN w:val="0"/>
        <w:adjustRightInd w:val="0"/>
        <w:spacing w:line="48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1463A7" w:rsidRDefault="0090564B">
      <w:pPr>
        <w:autoSpaceDE w:val="0"/>
        <w:autoSpaceDN w:val="0"/>
        <w:adjustRightInd w:val="0"/>
        <w:spacing w:line="48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 附件</w:t>
      </w: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rPr>
          <w:sz w:val="72"/>
          <w:szCs w:val="72"/>
        </w:rPr>
      </w:pPr>
    </w:p>
    <w:p w:rsidR="001463A7" w:rsidRDefault="0090564B">
      <w:pPr>
        <w:pStyle w:val="Default"/>
        <w:jc w:val="center"/>
        <w:rPr>
          <w:sz w:val="84"/>
          <w:szCs w:val="84"/>
        </w:rPr>
      </w:pPr>
      <w:r>
        <w:rPr>
          <w:rFonts w:hint="eastAsia"/>
          <w:sz w:val="84"/>
          <w:szCs w:val="84"/>
        </w:rPr>
        <w:t>第一部分</w:t>
      </w:r>
    </w:p>
    <w:p w:rsidR="001463A7" w:rsidRDefault="001463A7">
      <w:pPr>
        <w:pStyle w:val="Default"/>
        <w:jc w:val="center"/>
        <w:rPr>
          <w:sz w:val="84"/>
          <w:szCs w:val="84"/>
        </w:rPr>
      </w:pPr>
    </w:p>
    <w:p w:rsidR="001463A7" w:rsidRDefault="0090564B">
      <w:pPr>
        <w:pStyle w:val="Default"/>
        <w:jc w:val="center"/>
        <w:rPr>
          <w:sz w:val="84"/>
          <w:szCs w:val="84"/>
        </w:rPr>
      </w:pPr>
      <w:r>
        <w:rPr>
          <w:rFonts w:hint="eastAsia"/>
          <w:sz w:val="84"/>
          <w:szCs w:val="84"/>
        </w:rPr>
        <w:t>湖南省新开铺强制</w:t>
      </w:r>
    </w:p>
    <w:p w:rsidR="001463A7" w:rsidRDefault="0090564B">
      <w:pPr>
        <w:pStyle w:val="Default"/>
        <w:jc w:val="center"/>
        <w:rPr>
          <w:sz w:val="84"/>
          <w:szCs w:val="84"/>
        </w:rPr>
      </w:pPr>
      <w:r>
        <w:rPr>
          <w:rFonts w:hint="eastAsia"/>
          <w:sz w:val="84"/>
          <w:szCs w:val="84"/>
        </w:rPr>
        <w:t>隔离戒毒所概况</w:t>
      </w: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pStyle w:val="a9"/>
        <w:ind w:firstLineChars="0" w:firstLine="0"/>
        <w:jc w:val="left"/>
        <w:rPr>
          <w:rFonts w:ascii="黑体" w:eastAsia="黑体" w:hAnsi="黑体"/>
          <w:sz w:val="32"/>
          <w:szCs w:val="32"/>
        </w:rPr>
      </w:pPr>
    </w:p>
    <w:p w:rsidR="001463A7" w:rsidRDefault="0090564B">
      <w:pPr>
        <w:pStyle w:val="a9"/>
        <w:ind w:firstLine="640"/>
        <w:jc w:val="left"/>
        <w:rPr>
          <w:rFonts w:ascii="黑体" w:eastAsia="黑体" w:hAnsi="黑体"/>
          <w:sz w:val="32"/>
          <w:szCs w:val="32"/>
        </w:rPr>
      </w:pPr>
      <w:r>
        <w:rPr>
          <w:rFonts w:ascii="黑体" w:eastAsia="黑体" w:hAnsi="黑体" w:hint="eastAsia"/>
          <w:sz w:val="32"/>
          <w:szCs w:val="32"/>
        </w:rPr>
        <w:lastRenderedPageBreak/>
        <w:t>一、</w:t>
      </w:r>
      <w:r>
        <w:rPr>
          <w:rFonts w:ascii="黑体" w:eastAsia="黑体" w:hAnsi="黑体"/>
          <w:sz w:val="32"/>
          <w:szCs w:val="32"/>
        </w:rPr>
        <w:t>单位职责</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湖南省新开铺强制隔离戒毒所是对强制隔离戒毒人员（以下简称为戒毒人员）实行强制性戒毒教育改造的机构。主要职责是：</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根据《中华人民共和国禁毒法》、《戒毒条例》和相关法律、法规和方针政策，贯彻执行有关强制隔离戒毒、戒毒康复和社区戒毒工作的法定职责，拟定本所强制隔离戒毒工作的中长期规划和工作计划，经批准后组织实施；</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（二）负责戒毒人员的依法收治、管理和教育，组织习艺劳动生产和职业技术培训；</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（三）负责本所的执法、所政管理、警戒、教育矫治、生产劳动、生活卫生、医疗康复、防疫、信息化建设等工作；维护戒毒场所的安全、秩序和稳定。</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（四）负责本所民警职工队伍建设和思想教育管理工作；</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（五）负责本所国有资产管理和生产基建工作；</w:t>
      </w:r>
    </w:p>
    <w:p w:rsidR="001463A7" w:rsidRDefault="0090564B">
      <w:pPr>
        <w:widowControl/>
        <w:spacing w:line="56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（六）承办上级交办的其他事项。</w:t>
      </w:r>
    </w:p>
    <w:p w:rsidR="001463A7" w:rsidRDefault="0090564B">
      <w:pPr>
        <w:widowControl/>
        <w:spacing w:line="56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463A7" w:rsidRDefault="0090564B">
      <w:pPr>
        <w:widowControl/>
        <w:spacing w:line="560" w:lineRule="exact"/>
        <w:ind w:firstLineChars="196" w:firstLine="627"/>
        <w:jc w:val="left"/>
        <w:rPr>
          <w:rFonts w:asciiTheme="minorEastAsia" w:hAnsiTheme="minorEastAsia"/>
          <w:bCs/>
          <w:kern w:val="0"/>
          <w:sz w:val="32"/>
          <w:szCs w:val="32"/>
        </w:rPr>
      </w:pPr>
      <w:r>
        <w:rPr>
          <w:rFonts w:asciiTheme="minorEastAsia" w:hAnsiTheme="minorEastAsia" w:hint="eastAsia"/>
          <w:bCs/>
          <w:kern w:val="0"/>
          <w:sz w:val="32"/>
          <w:szCs w:val="32"/>
        </w:rPr>
        <w:t>（一）内设机构设置。湖南省新开铺强制隔离戒毒所内设31个单位，包含：政治处（党务办）、办公室、纪委监察室、财务科、审计科、行政后勤科、离退办、工会办、绩效考核办、信息科、生产技术科、经营管理科、所政管理科、教育矫治科、生活医疗科、习艺管理科、一~十五大队（共15个戒毒管理大队）。</w:t>
      </w:r>
    </w:p>
    <w:p w:rsidR="001463A7" w:rsidRDefault="0090564B">
      <w:pPr>
        <w:widowControl/>
        <w:spacing w:line="560" w:lineRule="exact"/>
        <w:ind w:firstLineChars="196" w:firstLine="627"/>
        <w:jc w:val="left"/>
        <w:rPr>
          <w:rFonts w:asciiTheme="minorEastAsia" w:hAnsiTheme="minorEastAsia"/>
          <w:bCs/>
          <w:kern w:val="0"/>
          <w:sz w:val="32"/>
          <w:szCs w:val="32"/>
        </w:rPr>
      </w:pPr>
      <w:r>
        <w:rPr>
          <w:rFonts w:asciiTheme="minorEastAsia" w:hAnsiTheme="minorEastAsia" w:hint="eastAsia"/>
          <w:bCs/>
          <w:kern w:val="0"/>
          <w:sz w:val="32"/>
          <w:szCs w:val="32"/>
        </w:rPr>
        <w:t>（二）决算单位构成。湖南省新开铺强制隔离戒毒所2020年单位决算公开单位共1个，即湖南省新开铺强制隔离戒毒所。</w:t>
      </w:r>
    </w:p>
    <w:p w:rsidR="001463A7" w:rsidRDefault="001463A7">
      <w:pPr>
        <w:jc w:val="center"/>
        <w:rPr>
          <w:rFonts w:ascii="黑体" w:eastAsia="黑体" w:hAnsi="黑体"/>
          <w:sz w:val="28"/>
          <w:szCs w:val="28"/>
        </w:rPr>
      </w:pPr>
    </w:p>
    <w:p w:rsidR="001463A7" w:rsidRDefault="001463A7">
      <w:pPr>
        <w:jc w:val="center"/>
        <w:rPr>
          <w:rFonts w:ascii="黑体" w:eastAsia="黑体" w:hAnsi="黑体"/>
          <w:sz w:val="28"/>
          <w:szCs w:val="28"/>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90564B">
      <w:pPr>
        <w:pStyle w:val="Default"/>
        <w:jc w:val="center"/>
        <w:rPr>
          <w:sz w:val="72"/>
          <w:szCs w:val="72"/>
        </w:rPr>
      </w:pPr>
      <w:r>
        <w:rPr>
          <w:rFonts w:hint="eastAsia"/>
          <w:sz w:val="72"/>
          <w:szCs w:val="72"/>
        </w:rPr>
        <w:t>第二部分</w:t>
      </w:r>
    </w:p>
    <w:p w:rsidR="001463A7" w:rsidRDefault="001463A7">
      <w:pPr>
        <w:pStyle w:val="Default"/>
        <w:jc w:val="center"/>
        <w:rPr>
          <w:sz w:val="72"/>
          <w:szCs w:val="72"/>
        </w:rPr>
      </w:pPr>
    </w:p>
    <w:p w:rsidR="001463A7" w:rsidRDefault="0090564B">
      <w:pPr>
        <w:pStyle w:val="Default"/>
        <w:jc w:val="center"/>
        <w:rPr>
          <w:sz w:val="72"/>
          <w:szCs w:val="72"/>
        </w:rPr>
      </w:pPr>
      <w:r>
        <w:rPr>
          <w:rFonts w:hint="eastAsia"/>
          <w:sz w:val="72"/>
          <w:szCs w:val="72"/>
        </w:rPr>
        <w:t>单位决算表</w:t>
      </w:r>
    </w:p>
    <w:p w:rsidR="001463A7" w:rsidRDefault="0090564B">
      <w:pPr>
        <w:pStyle w:val="Default"/>
        <w:jc w:val="center"/>
        <w:rPr>
          <w:sz w:val="72"/>
          <w:szCs w:val="72"/>
        </w:rPr>
      </w:pPr>
      <w:r>
        <w:rPr>
          <w:rFonts w:hint="eastAsia"/>
          <w:sz w:val="72"/>
          <w:szCs w:val="72"/>
        </w:rPr>
        <w:t>（附后）</w:t>
      </w:r>
    </w:p>
    <w:p w:rsidR="001463A7" w:rsidRDefault="001463A7">
      <w:pPr>
        <w:pStyle w:val="Default"/>
        <w:spacing w:line="480" w:lineRule="exact"/>
        <w:ind w:firstLineChars="250" w:firstLine="700"/>
        <w:rPr>
          <w:rFonts w:asciiTheme="minorEastAsia" w:eastAsiaTheme="minorEastAsia" w:hAnsiTheme="minorEastAsia" w:cs="仿宋_GB2312"/>
          <w:sz w:val="28"/>
          <w:szCs w:val="28"/>
        </w:rPr>
      </w:pP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一、收入支出决算总表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二、收入决算表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三、支出决算表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四、财政拨款收入支出决算总表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五、一般公共预算财政拨款支出决算表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六、一般公共预算财政拨款基本支出决算表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七、一般公共预算财政拨款“三公”经费支出决算表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sz w:val="36"/>
          <w:szCs w:val="36"/>
        </w:rPr>
        <w:t>八、政府性基金预算财政拨款收入支出决算表</w:t>
      </w:r>
    </w:p>
    <w:p w:rsidR="001463A7" w:rsidRDefault="0090564B">
      <w:pPr>
        <w:pStyle w:val="Default"/>
        <w:spacing w:line="600" w:lineRule="auto"/>
        <w:ind w:firstLineChars="250" w:firstLine="900"/>
        <w:rPr>
          <w:rFonts w:asciiTheme="minorEastAsia" w:eastAsiaTheme="minorEastAsia" w:hAnsiTheme="minorEastAsia" w:cs="仿宋_GB2312"/>
          <w:sz w:val="36"/>
          <w:szCs w:val="36"/>
        </w:rPr>
      </w:pPr>
      <w:r>
        <w:rPr>
          <w:rFonts w:asciiTheme="minorEastAsia" w:eastAsiaTheme="minorEastAsia" w:hAnsiTheme="minorEastAsia" w:cs="仿宋_GB2312" w:hint="eastAsia"/>
          <w:sz w:val="36"/>
          <w:szCs w:val="36"/>
        </w:rPr>
        <w:t>九、国有资本经营预算财政拨款支出决算表</w:t>
      </w:r>
    </w:p>
    <w:p w:rsidR="001463A7" w:rsidRDefault="001463A7">
      <w:pPr>
        <w:jc w:val="center"/>
        <w:rPr>
          <w:sz w:val="72"/>
          <w:szCs w:val="72"/>
        </w:rPr>
      </w:pPr>
      <w:bookmarkStart w:id="0" w:name="_GoBack"/>
      <w:bookmarkEnd w:id="0"/>
    </w:p>
    <w:p w:rsidR="001463A7" w:rsidRDefault="001463A7">
      <w:pPr>
        <w:jc w:val="center"/>
        <w:rPr>
          <w:sz w:val="44"/>
          <w:szCs w:val="44"/>
        </w:rPr>
        <w:sectPr w:rsidR="001463A7">
          <w:pgSz w:w="11906" w:h="16838"/>
          <w:pgMar w:top="1134" w:right="1417" w:bottom="737" w:left="1417" w:header="851" w:footer="992" w:gutter="0"/>
          <w:cols w:space="425"/>
          <w:docGrid w:type="linesAndChars" w:linePitch="312"/>
        </w:sect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jc w:val="center"/>
        <w:rPr>
          <w:sz w:val="72"/>
          <w:szCs w:val="72"/>
        </w:rPr>
      </w:pPr>
    </w:p>
    <w:p w:rsidR="001463A7" w:rsidRDefault="001463A7">
      <w:pPr>
        <w:pStyle w:val="Default"/>
        <w:jc w:val="center"/>
        <w:rPr>
          <w:sz w:val="72"/>
          <w:szCs w:val="72"/>
        </w:rPr>
      </w:pPr>
    </w:p>
    <w:p w:rsidR="001463A7" w:rsidRDefault="0090564B">
      <w:pPr>
        <w:pStyle w:val="Default"/>
        <w:jc w:val="center"/>
        <w:rPr>
          <w:sz w:val="72"/>
          <w:szCs w:val="72"/>
        </w:rPr>
      </w:pPr>
      <w:r>
        <w:rPr>
          <w:rFonts w:hint="eastAsia"/>
          <w:sz w:val="72"/>
          <w:szCs w:val="72"/>
        </w:rPr>
        <w:t>第三部分</w:t>
      </w:r>
    </w:p>
    <w:p w:rsidR="001463A7" w:rsidRDefault="001463A7">
      <w:pPr>
        <w:pStyle w:val="Default"/>
        <w:jc w:val="center"/>
        <w:rPr>
          <w:sz w:val="70"/>
          <w:szCs w:val="70"/>
        </w:rPr>
      </w:pPr>
    </w:p>
    <w:p w:rsidR="001463A7" w:rsidRDefault="0090564B">
      <w:pPr>
        <w:pStyle w:val="Default"/>
        <w:jc w:val="center"/>
        <w:rPr>
          <w:sz w:val="70"/>
          <w:szCs w:val="70"/>
        </w:rPr>
      </w:pPr>
      <w:r>
        <w:rPr>
          <w:sz w:val="70"/>
          <w:szCs w:val="70"/>
        </w:rPr>
        <w:t>20</w:t>
      </w:r>
      <w:r>
        <w:rPr>
          <w:rFonts w:hint="eastAsia"/>
          <w:sz w:val="70"/>
          <w:szCs w:val="70"/>
        </w:rPr>
        <w:t>20年度单位决算情况说明</w:t>
      </w:r>
    </w:p>
    <w:p w:rsidR="001463A7" w:rsidRDefault="0090564B">
      <w:pPr>
        <w:widowControl/>
        <w:jc w:val="left"/>
        <w:rPr>
          <w:rFonts w:ascii="黑体" w:eastAsia="黑体" w:cs="黑体"/>
          <w:color w:val="000000"/>
          <w:kern w:val="0"/>
          <w:sz w:val="70"/>
          <w:szCs w:val="70"/>
        </w:rPr>
      </w:pPr>
      <w:r>
        <w:rPr>
          <w:sz w:val="70"/>
          <w:szCs w:val="70"/>
        </w:rPr>
        <w:br w:type="page"/>
      </w:r>
    </w:p>
    <w:p w:rsidR="001463A7" w:rsidRDefault="0090564B" w:rsidP="007C38BF">
      <w:pPr>
        <w:pStyle w:val="Default"/>
        <w:ind w:firstLineChars="200" w:firstLine="643"/>
        <w:rPr>
          <w:rFonts w:hAnsi="黑体"/>
          <w:b/>
          <w:sz w:val="32"/>
          <w:szCs w:val="32"/>
        </w:rPr>
      </w:pPr>
      <w:r>
        <w:rPr>
          <w:rFonts w:hAnsi="黑体" w:hint="eastAsia"/>
          <w:b/>
          <w:sz w:val="32"/>
          <w:szCs w:val="32"/>
        </w:rPr>
        <w:lastRenderedPageBreak/>
        <w:t>一、收入支出决算总体情况说明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2020年度收、支总计</w:t>
      </w:r>
      <w:r>
        <w:rPr>
          <w:rFonts w:ascii="仿宋" w:eastAsia="仿宋" w:hAnsi="仿宋" w:hint="eastAsia"/>
          <w:sz w:val="32"/>
          <w:szCs w:val="32"/>
        </w:rPr>
        <w:t>17,411.3</w:t>
      </w:r>
      <w:r>
        <w:rPr>
          <w:rFonts w:asciiTheme="minorEastAsia" w:eastAsiaTheme="minorEastAsia" w:hAnsiTheme="minorEastAsia" w:hint="eastAsia"/>
          <w:sz w:val="32"/>
          <w:szCs w:val="32"/>
        </w:rPr>
        <w:t>万元。与上年相比，增加</w:t>
      </w:r>
      <w:r>
        <w:rPr>
          <w:rFonts w:ascii="仿宋" w:eastAsia="仿宋" w:hAnsi="仿宋" w:hint="eastAsia"/>
          <w:sz w:val="32"/>
          <w:szCs w:val="32"/>
        </w:rPr>
        <w:t>1,017.59</w:t>
      </w:r>
      <w:r>
        <w:rPr>
          <w:rFonts w:asciiTheme="minorEastAsia" w:eastAsiaTheme="minorEastAsia" w:hAnsiTheme="minorEastAsia" w:hint="eastAsia"/>
          <w:sz w:val="32"/>
          <w:szCs w:val="32"/>
        </w:rPr>
        <w:t>万元，增长6.21%，主要是因为离休人员医药费、死亡人员抚恤金、新冠肺炎疫情突发事件经费增加和按规定使用以前年度财政拨款结转资金等。</w:t>
      </w:r>
    </w:p>
    <w:p w:rsidR="001463A7" w:rsidRDefault="0090564B" w:rsidP="007C38BF">
      <w:pPr>
        <w:pStyle w:val="Default"/>
        <w:ind w:firstLineChars="200" w:firstLine="643"/>
        <w:rPr>
          <w:rFonts w:hAnsi="黑体"/>
          <w:b/>
          <w:sz w:val="32"/>
          <w:szCs w:val="32"/>
        </w:rPr>
      </w:pPr>
      <w:r>
        <w:rPr>
          <w:rFonts w:hAnsi="黑体" w:hint="eastAsia"/>
          <w:b/>
          <w:sz w:val="32"/>
          <w:szCs w:val="32"/>
        </w:rPr>
        <w:t>二、收入决算情况说明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仿宋" w:eastAsia="仿宋" w:hAnsi="仿宋" w:hint="eastAsia"/>
          <w:sz w:val="32"/>
          <w:szCs w:val="32"/>
        </w:rPr>
        <w:t>16,851.04</w:t>
      </w:r>
      <w:r>
        <w:rPr>
          <w:rFonts w:asciiTheme="minorEastAsia" w:eastAsiaTheme="minorEastAsia" w:hAnsiTheme="minorEastAsia" w:hint="eastAsia"/>
          <w:sz w:val="32"/>
          <w:szCs w:val="32"/>
        </w:rPr>
        <w:t>万元，其中：财政拨款收入16,654.89万元，占98.84%；其他收入</w:t>
      </w:r>
      <w:r>
        <w:rPr>
          <w:rFonts w:ascii="仿宋" w:eastAsia="仿宋" w:hAnsi="仿宋" w:hint="eastAsia"/>
          <w:sz w:val="32"/>
          <w:szCs w:val="32"/>
        </w:rPr>
        <w:t>196.15</w:t>
      </w:r>
      <w:r>
        <w:rPr>
          <w:rFonts w:asciiTheme="minorEastAsia" w:eastAsiaTheme="minorEastAsia" w:hAnsiTheme="minorEastAsia" w:hint="eastAsia"/>
          <w:sz w:val="32"/>
          <w:szCs w:val="32"/>
        </w:rPr>
        <w:t>万元，占1.16%。</w:t>
      </w:r>
    </w:p>
    <w:p w:rsidR="001463A7" w:rsidRDefault="0090564B" w:rsidP="007C38BF">
      <w:pPr>
        <w:pStyle w:val="Default"/>
        <w:ind w:firstLineChars="200" w:firstLine="643"/>
        <w:rPr>
          <w:rFonts w:hAnsi="黑体"/>
          <w:b/>
          <w:sz w:val="32"/>
          <w:szCs w:val="32"/>
        </w:rPr>
      </w:pPr>
      <w:r>
        <w:rPr>
          <w:rFonts w:hAnsi="黑体" w:hint="eastAsia"/>
          <w:b/>
          <w:sz w:val="32"/>
          <w:szCs w:val="32"/>
        </w:rPr>
        <w:t>三、支出决算情况说明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仿宋" w:eastAsia="仿宋" w:hAnsi="仿宋" w:hint="eastAsia"/>
          <w:sz w:val="32"/>
          <w:szCs w:val="32"/>
        </w:rPr>
        <w:t>17,223.78</w:t>
      </w:r>
      <w:r>
        <w:rPr>
          <w:rFonts w:asciiTheme="minorEastAsia" w:eastAsiaTheme="minorEastAsia" w:hAnsiTheme="minorEastAsia" w:hint="eastAsia"/>
          <w:sz w:val="32"/>
          <w:szCs w:val="32"/>
        </w:rPr>
        <w:t>万元，其中：基本支出14,894.76万元，占86.48%；项目支出2,329.03万元，占13.52%。</w:t>
      </w:r>
    </w:p>
    <w:p w:rsidR="001463A7" w:rsidRDefault="0090564B" w:rsidP="007C38BF">
      <w:pPr>
        <w:pStyle w:val="Default"/>
        <w:ind w:firstLineChars="200" w:firstLine="643"/>
        <w:rPr>
          <w:rFonts w:hAnsi="黑体"/>
          <w:b/>
          <w:sz w:val="32"/>
          <w:szCs w:val="32"/>
        </w:rPr>
      </w:pPr>
      <w:r>
        <w:rPr>
          <w:rFonts w:hAnsi="黑体" w:hint="eastAsia"/>
          <w:b/>
          <w:sz w:val="32"/>
          <w:szCs w:val="32"/>
        </w:rPr>
        <w:t>四、财政拨款收入支出决算总体情况说明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2020年度财政拨款收、支总计17,215.15万元，与上年相比，增加1,122.04万元,增长6.97%，主要是因为离休人员医药费、死亡人员抚恤金、新冠肺炎疫情突发事件经费和增加和按规定使用以前年度财政拨款结转资金等。</w:t>
      </w:r>
    </w:p>
    <w:p w:rsidR="001463A7" w:rsidRDefault="0090564B" w:rsidP="007C38BF">
      <w:pPr>
        <w:pStyle w:val="Default"/>
        <w:ind w:firstLineChars="200" w:firstLine="643"/>
        <w:rPr>
          <w:rFonts w:hAnsi="黑体"/>
          <w:b/>
          <w:sz w:val="32"/>
          <w:szCs w:val="32"/>
        </w:rPr>
      </w:pPr>
      <w:r>
        <w:rPr>
          <w:rFonts w:hAnsi="黑体" w:hint="eastAsia"/>
          <w:b/>
          <w:sz w:val="32"/>
          <w:szCs w:val="32"/>
        </w:rPr>
        <w:t>五、一般公共预算财政拨款支出决算情况说明</w:t>
      </w:r>
    </w:p>
    <w:p w:rsidR="001463A7" w:rsidRDefault="0090564B" w:rsidP="007C38B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17,027.64万元，占本年支出合计的98.86%，与上年相比，财政拨款支出增加1,494.79万元，增长9.62%，主要是因为离休人员医药费、死亡人员抚恤金、新冠肺炎疫情突发事件经费和增加和按规定使用以前年度财政拨款结转资金等。</w:t>
      </w:r>
    </w:p>
    <w:p w:rsidR="001463A7" w:rsidRDefault="0090564B" w:rsidP="007C38BF">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财政拨款支出17,027.64万元，主要用于以下方面：公共安全支出（类）支出11,622.28万元，占68.26%；教育（类）支出34.85万元，占0.21%；社会保障和就业支出（类）支出3,004.41万元，占17.64%；卫生健康支出（类）支出1,247.10万元，占7.32%；住房保障支出（类）支出1,119万元，占6.57%。</w:t>
      </w:r>
    </w:p>
    <w:p w:rsidR="001463A7" w:rsidRDefault="0090564B" w:rsidP="007C38B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1463A7" w:rsidRDefault="0090564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2020年度财政拨款支出年初预算数为13,266.59万元，支出决算数为17,027.64万元，完成年初预算的128.35%，与年初预算安排的差额主要是年中追加预算和按规定使用了以前年度结转资金。其中：</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公共安全支出（类）强制隔离戒毒（款）行政运行（项）。年初预算为7,414.58万元，支出决算为9,497.77万元，完成年初预算的128.10%，决算数大于年初预算数的主要原因是：追加2019年度综治及绩效、2020年度省政府绩效考核奖资金。</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2、公共安全支出（类）强制隔离戒毒（款）一般行政管理事务（项）。年初预算为0万元，支出决算为15.64万元，决算数大于年初预算数的主要原因是：新增一台执法执勤车辆。</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3、公共安全支出（类）强制隔离戒毒（款）所政设施建设（项）。</w:t>
      </w:r>
    </w:p>
    <w:p w:rsidR="001463A7" w:rsidRDefault="0090564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年初预算为200万元，支出决算为95.02万元，完成年初预算的47.51%，决算数小于年初预算数的主要原因是：受新冠肺炎疫情影响，所政建设项目未按期完工及验收，未达到支付条件。</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4、教育支出（类）进修及培训（款）培训支出（项）。年初预算为64.5万元，支出决算为34.85万元，完成年初预算的54.03%，决算数小于年初预算数的主要原因是：受新冠肺炎疫情影响培训计划取</w:t>
      </w:r>
      <w:r>
        <w:rPr>
          <w:rFonts w:asciiTheme="minorEastAsia" w:eastAsiaTheme="minorEastAsia" w:hAnsiTheme="minorEastAsia" w:hint="eastAsia"/>
          <w:sz w:val="32"/>
          <w:szCs w:val="32"/>
        </w:rPr>
        <w:lastRenderedPageBreak/>
        <w:t>消。</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社会保障和就业支出（类）行政事业单位养老支出（款）行政单位离退休（项）。年初预算为547.91万元，支出决算为1,913.01万元，完成年初预算的349.15%，决算数大于年初预算数的主要原因是：离休人员医药费、死亡人员抚恤金、追加2019年度综治及绩效、2020年度省政府绩效考核奖资金和按规定使用了以前年度结转资金等。</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6、社会保障和就业支出（类）行政事业单位养老支出（款）机关事业单位基本养老保险缴费支出（项）。年初预算为732万元，支出决算为732万元，完成年初预算的100%。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7、社会保障和就业支出（类）行政事业单位养老支出（款）其他行政事业单位养老支出（项）。年初预算为55.08万元，支出决算为55.08万元，完成年初预算100%。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8、社会保障和就业支出（类）抚恤（款） 死亡抚恤（项）。</w:t>
      </w:r>
    </w:p>
    <w:p w:rsidR="001463A7" w:rsidRDefault="0090564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年初预算为0万元，支出决算为300万元，为追加死亡人员抚恤金。</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9、社会保障和就业支出（类）其他社会保障和就业支出（款）其他社会保障和就业支出（项）。年初预算为4.32万元，支出决算为4.32万元，完成年初预算100%。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10、卫生健康支出（类）行政事业单位医疗（款）行政单位医疗（项）。年初预算为763万元，支出决算为815万元，完成年初预算的106.82%，决算数大于年初预算数的主要原因是：离休人员医药费增加。</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11、卫生健康支出（类）行政事业单位医疗（款）公务员医疗补</w:t>
      </w:r>
      <w:r>
        <w:rPr>
          <w:rFonts w:asciiTheme="minorEastAsia" w:eastAsiaTheme="minorEastAsia" w:hAnsiTheme="minorEastAsia" w:hint="eastAsia"/>
          <w:sz w:val="32"/>
          <w:szCs w:val="32"/>
        </w:rPr>
        <w:lastRenderedPageBreak/>
        <w:t>助（项）。年初预算为421万元，支出决算为421万元，完成年初预算100%。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12、卫生健康支出（类）行政事业单位医疗（款）其他行政事业单位医疗支出（项）。年初预算为11.1万元，支出决算为11.1万元，完成年初预算100%。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13、住房保障支出（类）住房改革支出（款）住房公积金（项）。</w:t>
      </w:r>
    </w:p>
    <w:p w:rsidR="001463A7" w:rsidRDefault="0090564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年初预算为923万元，支出决算为923万元，完成年初预算100%。</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14、住房保障支出（类）住房改革支出（款）购房补贴（项）。</w:t>
      </w:r>
    </w:p>
    <w:p w:rsidR="001463A7" w:rsidRDefault="0090564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年初预算为196万元，支出决算为196万元，完成年初预算100%。</w:t>
      </w:r>
    </w:p>
    <w:p w:rsidR="001463A7" w:rsidRDefault="0090564B" w:rsidP="007C38BF">
      <w:pPr>
        <w:pStyle w:val="Default"/>
        <w:ind w:firstLineChars="200" w:firstLine="643"/>
        <w:rPr>
          <w:rFonts w:hAnsi="黑体"/>
          <w:b/>
          <w:sz w:val="32"/>
          <w:szCs w:val="32"/>
        </w:rPr>
      </w:pPr>
      <w:r>
        <w:rPr>
          <w:rFonts w:hAnsi="黑体" w:hint="eastAsia"/>
          <w:b/>
          <w:sz w:val="32"/>
          <w:szCs w:val="32"/>
        </w:rPr>
        <w:t>六、一般公共预算财政拨款基本支出决算情况说明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14,894.13万元，其中：人员经费13,794.37万元，占基本支出的92.62%,主要包括基本工资、津贴补贴、奖金、机关事业单位基本养老保险缴费、职工基本医疗保险缴费、公务员医疗补助缴费、其他社会保障缴费、住房公积金、其他工资福利支出、离休费、退休费、抚恤金、生活补助、医疗费补助；公用经费1,099.76万元，占基本支出的7.38%，主要包括办公费、水费、电费、邮电费、物业管理费、差旅费、维修（护）费、租赁费、会议费、培训费、公务接待费、劳务费、工会经费、福利费、公务用车运行维护费、其他交通费、其他商品服务支出。</w:t>
      </w:r>
    </w:p>
    <w:p w:rsidR="001463A7" w:rsidRDefault="0090564B" w:rsidP="007C38BF">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1463A7" w:rsidRDefault="0090564B" w:rsidP="007C38B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“三公”经费财政拨款支出预算为69万元，支出决算为61.06万元，完成预算的88.49%，其中：</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因公出国（境）费支出预算为0万元，支出决算为0万元。</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31万元，支出决算为3.72万元，完成预算的12%，决算数小于预算数的主要原因是受新冠肺炎疫情影响，与上年相比减少0.28万元，减少6.96%,减少（增长）的主要原因：一是受新冠肺炎疫情影响，部分公务工作未能按期开展；二是认真贯彻落实过“紧日子”的要求，从严控制“三公经费”开支。</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38万元，支出决算为57.34万元，完成预算的150.89%，决算数大于预算数的主要原因是“三公经费”指标之间调剂用于新购置一台执法执勤车辆，与上年相比增加13.34万元，增长30.32%。</w:t>
      </w:r>
    </w:p>
    <w:p w:rsidR="001463A7" w:rsidRDefault="0090564B" w:rsidP="007C38B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2020年度“三公”经费财政拨款支出决算中，公务接待费支出决算3.72万元，占6.09%,因公出国（境）费支出决算0万元，占0%,公务用车购置费及运行维护费支出决算57.34万元，占93.91%。其中：</w:t>
      </w:r>
    </w:p>
    <w:p w:rsidR="001463A7" w:rsidRDefault="0090564B">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2、公务接待费支出决算为3.72万元，全年共接待来访团组106个、来宾560人次，主要是调遣戒毒人员及相关单位交流工作等发生的接待支出。</w:t>
      </w:r>
    </w:p>
    <w:p w:rsidR="001463A7" w:rsidRDefault="0090564B">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3、公务用车购置费及运行维护费支出决算为57.34万元，其中：公务用车购置费15.64万元，更新公务用车1辆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公务用车运行维护费41.7万元，主要是燃料费、维修费、过路过桥费、保险费、安全奖励费用等支出，截止2020年12月31日，我单位开支财政拨款的</w:t>
      </w:r>
      <w:r>
        <w:rPr>
          <w:rFonts w:asciiTheme="minorEastAsia" w:hAnsiTheme="minorEastAsia" w:hint="eastAsia"/>
          <w:sz w:val="32"/>
          <w:szCs w:val="32"/>
        </w:rPr>
        <w:lastRenderedPageBreak/>
        <w:t>公务用车保有量为8辆。</w:t>
      </w:r>
    </w:p>
    <w:p w:rsidR="001463A7" w:rsidRDefault="0090564B" w:rsidP="007C38BF">
      <w:pPr>
        <w:pStyle w:val="Default"/>
        <w:ind w:firstLineChars="200" w:firstLine="643"/>
        <w:rPr>
          <w:rFonts w:hAnsi="黑体"/>
          <w:b/>
          <w:sz w:val="32"/>
          <w:szCs w:val="32"/>
        </w:rPr>
      </w:pPr>
      <w:r>
        <w:rPr>
          <w:rFonts w:hAnsi="黑体" w:hint="eastAsia"/>
          <w:b/>
          <w:sz w:val="32"/>
          <w:szCs w:val="32"/>
        </w:rPr>
        <w:t>八、政府性基金预算收入支出决算情况</w:t>
      </w:r>
    </w:p>
    <w:p w:rsidR="007C38BF" w:rsidRDefault="007C38BF" w:rsidP="007C38BF">
      <w:pPr>
        <w:pStyle w:val="Default"/>
        <w:ind w:firstLineChars="150" w:firstLine="480"/>
        <w:rPr>
          <w:rFonts w:asciiTheme="minorEastAsia" w:eastAsiaTheme="minorEastAsia" w:hAnsiTheme="minorEastAsia"/>
          <w:sz w:val="32"/>
          <w:szCs w:val="32"/>
        </w:rPr>
      </w:pPr>
      <w:r>
        <w:rPr>
          <w:rFonts w:asciiTheme="minorEastAsia" w:eastAsiaTheme="minorEastAsia" w:hAnsiTheme="minorEastAsia" w:hint="eastAsia"/>
          <w:sz w:val="32"/>
          <w:szCs w:val="32"/>
        </w:rPr>
        <w:t>湖南省新开铺强制隔离戒毒所</w:t>
      </w:r>
      <w:r w:rsidRPr="00A6494A">
        <w:rPr>
          <w:rFonts w:asciiTheme="majorEastAsia" w:eastAsiaTheme="majorEastAsia" w:hAnsiTheme="majorEastAsia" w:cs="宋体" w:hint="eastAsia"/>
          <w:sz w:val="32"/>
          <w:szCs w:val="32"/>
        </w:rPr>
        <w:t>2020年度无政府性基金预算安排和支出。</w:t>
      </w:r>
    </w:p>
    <w:p w:rsidR="001463A7" w:rsidRDefault="0090564B" w:rsidP="007C38BF">
      <w:pPr>
        <w:pStyle w:val="Default"/>
        <w:ind w:firstLineChars="200" w:firstLine="643"/>
        <w:rPr>
          <w:rFonts w:hAnsi="黑体"/>
          <w:b/>
          <w:sz w:val="32"/>
          <w:szCs w:val="32"/>
        </w:rPr>
      </w:pPr>
      <w:r>
        <w:rPr>
          <w:rFonts w:hAnsi="黑体" w:hint="eastAsia"/>
          <w:b/>
          <w:sz w:val="32"/>
          <w:szCs w:val="32"/>
        </w:rPr>
        <w:t>九、关于机关运行经费支出说明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本单位2020年度机关运行经费支出1,099.76万元，比上年决算数减少43.4万元，降低3.80%。主要原因是：认真贯彻落实过“紧日子”的要求，从严控制各项经费开支。</w:t>
      </w:r>
    </w:p>
    <w:p w:rsidR="001463A7" w:rsidRDefault="0090564B" w:rsidP="007C38BF">
      <w:pPr>
        <w:pStyle w:val="Default"/>
        <w:ind w:firstLineChars="200" w:firstLine="643"/>
        <w:rPr>
          <w:rFonts w:hAnsi="黑体"/>
          <w:b/>
          <w:sz w:val="32"/>
          <w:szCs w:val="32"/>
        </w:rPr>
      </w:pPr>
      <w:r>
        <w:rPr>
          <w:rFonts w:hAnsi="黑体" w:hint="eastAsia"/>
          <w:b/>
          <w:sz w:val="32"/>
          <w:szCs w:val="32"/>
        </w:rPr>
        <w:t>十、一般性支出情况</w:t>
      </w:r>
    </w:p>
    <w:p w:rsidR="001463A7" w:rsidRDefault="0090564B">
      <w:pPr>
        <w:widowControl/>
        <w:spacing w:before="30" w:after="30"/>
        <w:ind w:right="30" w:firstLineChars="200" w:firstLine="640"/>
        <w:rPr>
          <w:rFonts w:asciiTheme="minorEastAsia" w:hAnsiTheme="minorEastAsia"/>
          <w:sz w:val="32"/>
          <w:szCs w:val="32"/>
        </w:rPr>
      </w:pPr>
      <w:r>
        <w:rPr>
          <w:rFonts w:asciiTheme="minorEastAsia" w:hAnsiTheme="minorEastAsia" w:hint="eastAsia"/>
          <w:sz w:val="32"/>
          <w:szCs w:val="32"/>
        </w:rPr>
        <w:t>2020年本单位开支三类以下会议费1万元，用于召开场所安全形势研判、6.26禁毒、信息理论调研及年度工作会议，人数548人，内容为安全稳定形势研判会议；6.26禁毒宣传、心理矫治等信息理论交流会议及年度工作会议。开支培训费34.85万元，用于开展警衔培训，人数100人，内容为警衔晋升和首授警衔。</w:t>
      </w:r>
    </w:p>
    <w:p w:rsidR="001463A7" w:rsidRDefault="0090564B">
      <w:pPr>
        <w:widowControl/>
        <w:spacing w:before="30" w:after="30"/>
        <w:ind w:right="30" w:firstLineChars="200" w:firstLine="640"/>
        <w:rPr>
          <w:rFonts w:asciiTheme="minorEastAsia" w:hAnsiTheme="minorEastAsia"/>
          <w:sz w:val="32"/>
          <w:szCs w:val="32"/>
        </w:rPr>
      </w:pPr>
      <w:r>
        <w:rPr>
          <w:rFonts w:asciiTheme="minorEastAsia" w:hAnsiTheme="minorEastAsia" w:hint="eastAsia"/>
          <w:sz w:val="32"/>
          <w:szCs w:val="32"/>
        </w:rPr>
        <w:t>2020年度本单位举办节庆、晚会、论坛、赛事等活动费财政拨款支出预算为0万元，开支0万元。</w:t>
      </w:r>
    </w:p>
    <w:p w:rsidR="001463A7" w:rsidRDefault="0090564B" w:rsidP="007C38BF">
      <w:pPr>
        <w:pStyle w:val="Default"/>
        <w:ind w:firstLineChars="200" w:firstLine="643"/>
        <w:rPr>
          <w:rFonts w:hAnsi="黑体"/>
          <w:b/>
          <w:sz w:val="32"/>
          <w:szCs w:val="32"/>
        </w:rPr>
      </w:pPr>
      <w:r>
        <w:rPr>
          <w:rFonts w:hAnsi="黑体" w:hint="eastAsia"/>
          <w:b/>
          <w:sz w:val="32"/>
          <w:szCs w:val="32"/>
        </w:rPr>
        <w:t>十一、关于政府采购支出说明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2020年度政府采购支出总额343.50万元，其中：政府采购货物支出343.50万元、政府采购工程支出0万元、政府采购服务支出0万元。授予中小企业合同金额343.50万元，占政府采购支出总额的100%，其中：授予小微企业合同金额163.54万元，占政府采购支出总额的47.61%。</w:t>
      </w:r>
    </w:p>
    <w:p w:rsidR="001463A7" w:rsidRDefault="0090564B" w:rsidP="007C38BF">
      <w:pPr>
        <w:pStyle w:val="Default"/>
        <w:ind w:firstLineChars="200" w:firstLine="643"/>
        <w:rPr>
          <w:rFonts w:hAnsi="黑体"/>
          <w:b/>
          <w:sz w:val="32"/>
          <w:szCs w:val="32"/>
        </w:rPr>
      </w:pPr>
      <w:r>
        <w:rPr>
          <w:rFonts w:hAnsi="黑体" w:hint="eastAsia"/>
          <w:b/>
          <w:sz w:val="32"/>
          <w:szCs w:val="32"/>
        </w:rPr>
        <w:t>十二、关于国有资产占用情况说明</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截至2020年12月31日，湖南省新开铺强制隔离戒毒所共有车辆8辆，其中，主要领导干部用车0辆，机要通信用车0辆、应急保障用车0辆、执法执勤用车6辆、特种专业技术用车2辆、其他用车0辆，；单位价值50万元以上通用设备6台（套）；单位价值100万元以上专用设备0台（套）。</w:t>
      </w:r>
    </w:p>
    <w:p w:rsidR="001463A7" w:rsidRDefault="0090564B" w:rsidP="007C38BF">
      <w:pPr>
        <w:pStyle w:val="Default"/>
        <w:numPr>
          <w:ilvl w:val="0"/>
          <w:numId w:val="1"/>
        </w:numPr>
        <w:ind w:firstLineChars="200" w:firstLine="643"/>
        <w:rPr>
          <w:rFonts w:hAnsi="黑体"/>
          <w:b/>
          <w:sz w:val="32"/>
          <w:szCs w:val="32"/>
        </w:rPr>
      </w:pPr>
      <w:r>
        <w:rPr>
          <w:rFonts w:hAnsi="黑体" w:hint="eastAsia"/>
          <w:b/>
          <w:sz w:val="32"/>
          <w:szCs w:val="32"/>
        </w:rPr>
        <w:t>关于2020年度预算绩效情况的说明</w:t>
      </w:r>
    </w:p>
    <w:p w:rsidR="001463A7" w:rsidRDefault="0090564B" w:rsidP="007C38BF">
      <w:pPr>
        <w:pStyle w:val="Default"/>
        <w:numPr>
          <w:ilvl w:val="0"/>
          <w:numId w:val="2"/>
        </w:numPr>
        <w:ind w:firstLineChars="49" w:firstLine="157"/>
        <w:rPr>
          <w:rFonts w:hAnsi="黑体"/>
          <w:bCs/>
          <w:sz w:val="32"/>
          <w:szCs w:val="32"/>
        </w:rPr>
      </w:pPr>
      <w:r>
        <w:rPr>
          <w:rFonts w:hAnsi="黑体" w:hint="eastAsia"/>
          <w:bCs/>
          <w:sz w:val="32"/>
          <w:szCs w:val="32"/>
        </w:rPr>
        <w:t>预算绩效管理工作开展情况</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根据预算绩效管理工作要求，我所组织对2020年度一般公共预算整体支出全面开展绩效自评及2020年度项目支出绩效目标执行监控。</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从评价和监控情况来看，完成情况较好，主要表现为以下几个方面，一是项目设立合规，按规定纳入项目库管理、编报年度绩效目标，严格按照资金分配管理办法规定分配资金；二是定期开展绩效监控和绩效评价；三是财务管理制度较健全，预算执行及时、有效；四是绩效目标得到较好的实现。</w:t>
      </w:r>
    </w:p>
    <w:p w:rsidR="001463A7" w:rsidRDefault="0090564B" w:rsidP="007C38BF">
      <w:pPr>
        <w:pStyle w:val="Default"/>
        <w:numPr>
          <w:ilvl w:val="0"/>
          <w:numId w:val="2"/>
        </w:numPr>
        <w:ind w:firstLineChars="49" w:firstLine="157"/>
        <w:rPr>
          <w:rFonts w:hAnsi="黑体"/>
          <w:bCs/>
          <w:sz w:val="32"/>
          <w:szCs w:val="32"/>
        </w:rPr>
      </w:pPr>
      <w:r>
        <w:rPr>
          <w:rFonts w:hAnsi="黑体" w:hint="eastAsia"/>
          <w:bCs/>
          <w:sz w:val="32"/>
          <w:szCs w:val="32"/>
        </w:rPr>
        <w:t>预算绩效管理绩效目标</w:t>
      </w:r>
    </w:p>
    <w:p w:rsidR="001463A7" w:rsidRDefault="0090564B">
      <w:pPr>
        <w:pStyle w:val="Default"/>
        <w:ind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坚持以习近平新时代中国特色社会主义思想为指导，深入学习贯彻党的十九大精神，以打赢新时代禁毒人民战争为统领，创建统一全国司法行政戒毒工作基本模式和“智慧戒毒”两个示范所为抓手，通过有针对性的开展教育管理活动，均衡伙食营养，加强身体体能训练，提高戒毒人员的身体素质，通过习艺劳动和职业技能培训，不断提高强戒人员的戒治质量，提升操守率和戒断率。为社会治安综合治理、法治湖南、平安湖南作出应有贡献。</w:t>
      </w:r>
    </w:p>
    <w:p w:rsidR="001463A7" w:rsidRDefault="0090564B" w:rsidP="007C38BF">
      <w:pPr>
        <w:pStyle w:val="Default"/>
        <w:numPr>
          <w:ilvl w:val="0"/>
          <w:numId w:val="2"/>
        </w:numPr>
        <w:ind w:firstLineChars="49" w:firstLine="157"/>
        <w:rPr>
          <w:rFonts w:hAnsi="黑体"/>
          <w:bCs/>
          <w:sz w:val="32"/>
          <w:szCs w:val="32"/>
        </w:rPr>
      </w:pPr>
      <w:r>
        <w:rPr>
          <w:rFonts w:hAnsi="黑体" w:hint="eastAsia"/>
          <w:bCs/>
          <w:sz w:val="32"/>
          <w:szCs w:val="32"/>
        </w:rPr>
        <w:t>预算绩效管理绩效评价报告</w:t>
      </w:r>
    </w:p>
    <w:p w:rsidR="001463A7" w:rsidRDefault="0090564B">
      <w:pPr>
        <w:pStyle w:val="Default"/>
        <w:ind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来，在厅党组、局党委的正确领导下，所党委带领广大民警职工攻坚克难、奋发作为，场所各项工作实现跨越式发展。我们众志成城，共战疫情，场所实现“三防一安全”。我们决战决胜，聚力攻坚，两大示范所创建任务整体推进，教育戒治质量不断提升。我们量入为出，开源节流，千方百计保民生保运转。我们党建先行，狠抓队伍，成功创建省直机关文明标兵单位。</w:t>
      </w:r>
    </w:p>
    <w:p w:rsidR="001463A7" w:rsidRDefault="0090564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我所对照湘财绩〔2021〕1号文件规定的考核指标，从预算配置、预算执行、预算管理、履职效能等方面对2020年单位整体支出绩效开展了自评，自评得分93分。</w:t>
      </w:r>
    </w:p>
    <w:p w:rsidR="001463A7" w:rsidRDefault="001463A7">
      <w:pPr>
        <w:pStyle w:val="Default"/>
        <w:ind w:firstLineChars="200" w:firstLine="640"/>
        <w:rPr>
          <w:rFonts w:asciiTheme="minorEastAsia" w:eastAsiaTheme="minorEastAsia" w:hAnsiTheme="minorEastAsia"/>
          <w:sz w:val="32"/>
          <w:szCs w:val="32"/>
        </w:rPr>
      </w:pPr>
    </w:p>
    <w:p w:rsidR="001463A7" w:rsidRDefault="001463A7">
      <w:pPr>
        <w:pStyle w:val="Default"/>
        <w:ind w:firstLineChars="200" w:firstLine="640"/>
        <w:rPr>
          <w:rFonts w:asciiTheme="minorEastAsia" w:eastAsiaTheme="minorEastAsia" w:hAnsiTheme="minorEastAsia"/>
          <w:sz w:val="32"/>
          <w:szCs w:val="32"/>
        </w:rPr>
      </w:pPr>
    </w:p>
    <w:p w:rsidR="001463A7" w:rsidRDefault="001463A7">
      <w:pPr>
        <w:pStyle w:val="Default"/>
        <w:rPr>
          <w:rFonts w:hAnsi="黑体"/>
          <w:b/>
          <w:sz w:val="32"/>
          <w:szCs w:val="3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90564B">
      <w:pPr>
        <w:pStyle w:val="Default"/>
        <w:jc w:val="center"/>
        <w:rPr>
          <w:sz w:val="72"/>
          <w:szCs w:val="72"/>
        </w:rPr>
      </w:pPr>
      <w:r>
        <w:rPr>
          <w:rFonts w:hint="eastAsia"/>
          <w:sz w:val="72"/>
          <w:szCs w:val="72"/>
        </w:rPr>
        <w:t>第四部分</w:t>
      </w:r>
    </w:p>
    <w:p w:rsidR="001463A7" w:rsidRDefault="001463A7">
      <w:pPr>
        <w:jc w:val="center"/>
        <w:rPr>
          <w:rFonts w:ascii="黑体" w:eastAsia="黑体" w:cs="黑体"/>
          <w:color w:val="000000"/>
          <w:kern w:val="0"/>
          <w:sz w:val="70"/>
          <w:szCs w:val="70"/>
        </w:rPr>
      </w:pPr>
    </w:p>
    <w:p w:rsidR="001463A7" w:rsidRDefault="0090564B">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1463A7" w:rsidRDefault="0090564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1463A7" w:rsidRDefault="0090564B">
      <w:pPr>
        <w:widowControl/>
        <w:shd w:val="clear" w:color="auto" w:fill="FFFFFF"/>
        <w:ind w:firstLine="627"/>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lastRenderedPageBreak/>
        <w:t>一、财政拨款收入</w:t>
      </w:r>
      <w:r>
        <w:rPr>
          <w:rFonts w:ascii="微软雅黑" w:eastAsia="微软雅黑" w:hAnsi="微软雅黑" w:cs="微软雅黑" w:hint="eastAsia"/>
          <w:color w:val="000000"/>
          <w:kern w:val="0"/>
          <w:sz w:val="32"/>
          <w:szCs w:val="32"/>
          <w:shd w:val="clear" w:color="auto" w:fill="FFFFFF"/>
        </w:rPr>
        <w:t>：指中央、省级财政当年拨付的资金。</w:t>
      </w:r>
      <w:r>
        <w:rPr>
          <w:rFonts w:ascii="微软雅黑" w:eastAsia="微软雅黑" w:hAnsi="微软雅黑" w:cs="微软雅黑" w:hint="eastAsia"/>
          <w:color w:val="000000"/>
          <w:kern w:val="0"/>
          <w:szCs w:val="21"/>
          <w:shd w:val="clear" w:color="auto" w:fill="FFFFFF"/>
        </w:rPr>
        <w:t> </w:t>
      </w:r>
    </w:p>
    <w:p w:rsidR="001463A7" w:rsidRDefault="0090564B">
      <w:pPr>
        <w:widowControl/>
        <w:shd w:val="clear" w:color="auto" w:fill="FFFFFF"/>
        <w:ind w:firstLineChars="200"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二、其他收入</w:t>
      </w:r>
      <w:r>
        <w:rPr>
          <w:rFonts w:ascii="微软雅黑" w:eastAsia="微软雅黑" w:hAnsi="微软雅黑" w:cs="微软雅黑" w:hint="eastAsia"/>
          <w:color w:val="000000"/>
          <w:kern w:val="0"/>
          <w:sz w:val="32"/>
          <w:szCs w:val="32"/>
          <w:shd w:val="clear" w:color="auto" w:fill="FFFFFF"/>
        </w:rPr>
        <w:t>：指除上述“财政拨款收入”、“事业收入”、“经营收入”等以外的收入。</w:t>
      </w:r>
    </w:p>
    <w:p w:rsidR="001463A7" w:rsidRDefault="0090564B">
      <w:pPr>
        <w:widowControl/>
        <w:shd w:val="clear" w:color="auto" w:fill="FFFFFF"/>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 xml:space="preserve">　　三、年初结转和结余</w:t>
      </w:r>
      <w:r>
        <w:rPr>
          <w:rFonts w:ascii="微软雅黑" w:eastAsia="微软雅黑" w:hAnsi="微软雅黑" w:cs="微软雅黑" w:hint="eastAsia"/>
          <w:color w:val="000000"/>
          <w:kern w:val="0"/>
          <w:sz w:val="32"/>
          <w:szCs w:val="32"/>
          <w:shd w:val="clear" w:color="auto" w:fill="FFFFFF"/>
        </w:rPr>
        <w:t>：指以前年度尚未完成、结转到本年按有关规定继续使用的资金。</w:t>
      </w:r>
    </w:p>
    <w:p w:rsidR="001463A7" w:rsidRDefault="0090564B">
      <w:pPr>
        <w:widowControl/>
        <w:shd w:val="clear" w:color="auto" w:fill="FFFFFF"/>
        <w:ind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四、公共安全支出（类）强制隔离戒毒（款）行政运行（项）：</w:t>
      </w:r>
      <w:r>
        <w:rPr>
          <w:rFonts w:ascii="微软雅黑" w:eastAsia="微软雅黑" w:hAnsi="微软雅黑" w:cs="微软雅黑" w:hint="eastAsia"/>
          <w:color w:val="000000"/>
          <w:kern w:val="0"/>
          <w:sz w:val="32"/>
          <w:szCs w:val="32"/>
          <w:shd w:val="clear" w:color="auto" w:fill="FFFFFF"/>
        </w:rPr>
        <w:t>反映行政单位（包括实行公务员管理的事业单位）的基本支出。</w:t>
      </w:r>
    </w:p>
    <w:p w:rsidR="001463A7" w:rsidRDefault="0090564B">
      <w:pPr>
        <w:widowControl/>
        <w:shd w:val="clear" w:color="auto" w:fill="FFFFFF"/>
        <w:ind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五、公共安全支出（类）强制隔离戒毒（款）一般行政管理事务（项）：</w:t>
      </w:r>
      <w:r>
        <w:rPr>
          <w:rFonts w:ascii="微软雅黑" w:eastAsia="微软雅黑" w:hAnsi="微软雅黑" w:cs="微软雅黑" w:hint="eastAsia"/>
          <w:color w:val="000000"/>
          <w:kern w:val="0"/>
          <w:sz w:val="32"/>
          <w:szCs w:val="32"/>
          <w:shd w:val="clear" w:color="auto" w:fill="FFFFFF"/>
        </w:rPr>
        <w:t>反映行政单位（包括实行公务员管理的事业单位）未单独设置项级科目的其他项目支出。</w:t>
      </w:r>
    </w:p>
    <w:p w:rsidR="001463A7" w:rsidRDefault="0090564B">
      <w:pPr>
        <w:widowControl/>
        <w:shd w:val="clear" w:color="auto" w:fill="FFFFFF"/>
        <w:ind w:firstLine="66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六、公共安全支出（类）强制隔离戒毒（款）所政设施建设（项）：</w:t>
      </w:r>
      <w:r>
        <w:rPr>
          <w:rFonts w:ascii="微软雅黑" w:eastAsia="微软雅黑" w:hAnsi="微软雅黑" w:cs="微软雅黑" w:hint="eastAsia"/>
          <w:color w:val="000000"/>
          <w:kern w:val="0"/>
          <w:sz w:val="32"/>
          <w:szCs w:val="32"/>
          <w:shd w:val="clear" w:color="auto" w:fill="FFFFFF"/>
        </w:rPr>
        <w:t>反映强制隔离戒毒所所政设施建设及维修、技术装备购置等方面的支出。</w:t>
      </w:r>
    </w:p>
    <w:p w:rsidR="001463A7" w:rsidRDefault="0090564B">
      <w:pPr>
        <w:widowControl/>
        <w:shd w:val="clear" w:color="auto" w:fill="FFFFFF"/>
        <w:ind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七、教育支出（类）进修及培训（款）培训支出（项）：</w:t>
      </w:r>
      <w:r>
        <w:rPr>
          <w:rFonts w:ascii="微软雅黑" w:eastAsia="微软雅黑" w:hAnsi="微软雅黑" w:cs="微软雅黑" w:hint="eastAsia"/>
          <w:color w:val="000000"/>
          <w:kern w:val="0"/>
          <w:sz w:val="32"/>
          <w:szCs w:val="32"/>
          <w:shd w:val="clear" w:color="auto" w:fill="FFFFFF"/>
        </w:rPr>
        <w:t>反映各单位安排的用于培训的支出。</w:t>
      </w:r>
    </w:p>
    <w:p w:rsidR="001463A7" w:rsidRDefault="0090564B">
      <w:pPr>
        <w:widowControl/>
        <w:shd w:val="clear" w:color="auto" w:fill="FFFFFF"/>
        <w:ind w:firstLine="66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八、社会保障和就业支出（类）行政事业单位养老支出（款）行政事业单位离退休（项）：</w:t>
      </w:r>
      <w:r>
        <w:rPr>
          <w:rFonts w:ascii="微软雅黑" w:eastAsia="微软雅黑" w:hAnsi="微软雅黑" w:cs="微软雅黑" w:hint="eastAsia"/>
          <w:color w:val="000000"/>
          <w:kern w:val="0"/>
          <w:sz w:val="32"/>
          <w:szCs w:val="32"/>
          <w:shd w:val="clear" w:color="auto" w:fill="FFFFFF"/>
        </w:rPr>
        <w:t>强制隔离戒毒所管理的离退休人员的支出。</w:t>
      </w:r>
    </w:p>
    <w:p w:rsidR="001463A7" w:rsidRDefault="0090564B">
      <w:pPr>
        <w:widowControl/>
        <w:shd w:val="clear" w:color="auto" w:fill="FFFFFF"/>
        <w:ind w:firstLine="66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九、社会保障和就业支出（类）行政事业单位养老支出（款）机关事业单位基本养老保险缴费支出（项）：</w:t>
      </w:r>
      <w:r>
        <w:rPr>
          <w:rFonts w:ascii="微软雅黑" w:eastAsia="微软雅黑" w:hAnsi="微软雅黑" w:cs="微软雅黑" w:hint="eastAsia"/>
          <w:color w:val="000000"/>
          <w:kern w:val="0"/>
          <w:sz w:val="32"/>
          <w:szCs w:val="32"/>
          <w:shd w:val="clear" w:color="auto" w:fill="FFFFFF"/>
        </w:rPr>
        <w:t>反映机关事业单位实施养老保险制度由单位缴纳的基本养老保险费支出。</w:t>
      </w:r>
    </w:p>
    <w:p w:rsidR="001463A7" w:rsidRDefault="0090564B">
      <w:pPr>
        <w:widowControl/>
        <w:shd w:val="clear" w:color="auto" w:fill="FFFFFF"/>
        <w:ind w:firstLine="66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b/>
          <w:color w:val="000000"/>
          <w:kern w:val="0"/>
          <w:sz w:val="32"/>
          <w:szCs w:val="32"/>
          <w:shd w:val="clear" w:color="auto" w:fill="FFFFFF"/>
        </w:rPr>
        <w:lastRenderedPageBreak/>
        <w:t>十、社会保障和就业支出（类）行政事业单位养老支出（款）其他行政事业单位养老支出（项）：</w:t>
      </w:r>
      <w:r>
        <w:rPr>
          <w:rFonts w:ascii="微软雅黑" w:eastAsia="微软雅黑" w:hAnsi="微软雅黑" w:cs="微软雅黑" w:hint="eastAsia"/>
          <w:color w:val="000000"/>
          <w:kern w:val="0"/>
          <w:sz w:val="32"/>
          <w:szCs w:val="32"/>
          <w:shd w:val="clear" w:color="auto" w:fill="FFFFFF"/>
        </w:rPr>
        <w:t>反映财政按规定确定的其他用于促进就业的补助支出。</w:t>
      </w:r>
    </w:p>
    <w:p w:rsidR="001463A7" w:rsidRDefault="0090564B">
      <w:pPr>
        <w:widowControl/>
        <w:shd w:val="clear" w:color="auto" w:fill="FFFFFF"/>
        <w:ind w:firstLine="66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b/>
          <w:color w:val="000000"/>
          <w:kern w:val="0"/>
          <w:sz w:val="32"/>
          <w:szCs w:val="32"/>
          <w:shd w:val="clear" w:color="auto" w:fill="FFFFFF"/>
        </w:rPr>
        <w:t>十一、社会保障和就业支出（类）抚恤（款）死亡抚恤（项）：</w:t>
      </w:r>
      <w:r>
        <w:rPr>
          <w:rFonts w:ascii="微软雅黑" w:eastAsia="微软雅黑" w:hAnsi="微软雅黑" w:cs="微软雅黑" w:hint="eastAsia"/>
          <w:color w:val="000000"/>
          <w:kern w:val="0"/>
          <w:sz w:val="32"/>
          <w:szCs w:val="32"/>
          <w:shd w:val="clear" w:color="auto" w:fill="FFFFFF"/>
        </w:rPr>
        <w:t>反映财政按规定开支的机关事业单位职工和离退休人员丧葬费。</w:t>
      </w:r>
    </w:p>
    <w:p w:rsidR="001463A7" w:rsidRDefault="0090564B">
      <w:pPr>
        <w:widowControl/>
        <w:shd w:val="clear" w:color="auto" w:fill="FFFFFF"/>
        <w:ind w:firstLine="660"/>
        <w:jc w:val="left"/>
        <w:rPr>
          <w:rFonts w:ascii="微软雅黑" w:eastAsia="微软雅黑" w:hAnsi="微软雅黑" w:cs="微软雅黑"/>
          <w:color w:val="000000"/>
          <w:kern w:val="0"/>
          <w:sz w:val="32"/>
          <w:szCs w:val="32"/>
          <w:shd w:val="clear" w:color="auto" w:fill="FFFFFF"/>
        </w:rPr>
      </w:pPr>
      <w:r>
        <w:rPr>
          <w:rFonts w:ascii="微软雅黑" w:eastAsia="微软雅黑" w:hAnsi="微软雅黑" w:cs="微软雅黑" w:hint="eastAsia"/>
          <w:b/>
          <w:color w:val="000000"/>
          <w:kern w:val="0"/>
          <w:sz w:val="32"/>
          <w:szCs w:val="32"/>
          <w:shd w:val="clear" w:color="auto" w:fill="FFFFFF"/>
        </w:rPr>
        <w:t>十二、社会保障和就业支出（类）其他社会保障和就业支出（款）其他社会保障和就业支出（项）：</w:t>
      </w:r>
      <w:r>
        <w:rPr>
          <w:rFonts w:ascii="微软雅黑" w:eastAsia="微软雅黑" w:hAnsi="微软雅黑" w:cs="微软雅黑" w:hint="eastAsia"/>
          <w:color w:val="000000"/>
          <w:kern w:val="0"/>
          <w:sz w:val="32"/>
          <w:szCs w:val="32"/>
          <w:shd w:val="clear" w:color="auto" w:fill="FFFFFF"/>
        </w:rPr>
        <w:t>反映财政按规定确定的其他用于社会保障和就业支出。</w:t>
      </w:r>
    </w:p>
    <w:p w:rsidR="001463A7" w:rsidRDefault="0090564B">
      <w:pPr>
        <w:widowControl/>
        <w:shd w:val="clear" w:color="auto" w:fill="FFFFFF"/>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    十三、卫生健康支出（类）行政事业单位医疗（款）行政单位医疗（项）：</w:t>
      </w:r>
      <w:r>
        <w:rPr>
          <w:rFonts w:ascii="微软雅黑" w:eastAsia="微软雅黑" w:hAnsi="微软雅黑" w:cs="微软雅黑" w:hint="eastAsia"/>
          <w:color w:val="000000"/>
          <w:kern w:val="0"/>
          <w:sz w:val="32"/>
          <w:szCs w:val="32"/>
          <w:shd w:val="clear" w:color="auto" w:fill="FFFFFF"/>
        </w:rPr>
        <w:t>反映财政单位集中安排的行政单位基本医疗保险缴费经费。</w:t>
      </w:r>
    </w:p>
    <w:p w:rsidR="001463A7" w:rsidRDefault="0090564B">
      <w:pPr>
        <w:widowControl/>
        <w:shd w:val="clear" w:color="auto" w:fill="FFFFFF"/>
        <w:ind w:firstLine="66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十四、卫生健康支出（类）医疗保障（款）公务员医疗补助（项）：</w:t>
      </w:r>
      <w:r>
        <w:rPr>
          <w:rFonts w:ascii="宋体" w:eastAsia="宋体" w:hAnsi="宋体" w:cs="宋体" w:hint="eastAsia"/>
          <w:color w:val="000000"/>
          <w:kern w:val="0"/>
          <w:szCs w:val="21"/>
          <w:shd w:val="clear" w:color="auto" w:fill="FFFFFF"/>
        </w:rPr>
        <w:t>：</w:t>
      </w:r>
      <w:r>
        <w:rPr>
          <w:rFonts w:ascii="微软雅黑" w:eastAsia="微软雅黑" w:hAnsi="微软雅黑" w:cs="微软雅黑" w:hint="eastAsia"/>
          <w:color w:val="000000"/>
          <w:kern w:val="0"/>
          <w:sz w:val="32"/>
          <w:szCs w:val="32"/>
          <w:shd w:val="clear" w:color="auto" w:fill="FFFFFF"/>
        </w:rPr>
        <w:t>反映财政单位集中安排的行政单位公务员医疗补助经费。</w:t>
      </w:r>
    </w:p>
    <w:p w:rsidR="001463A7" w:rsidRDefault="0090564B">
      <w:pPr>
        <w:widowControl/>
        <w:shd w:val="clear" w:color="auto" w:fill="FFFFFF"/>
        <w:ind w:firstLine="66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十五、卫生健康支出（类）医疗保障（款）其他医疗保障支出（项）：</w:t>
      </w:r>
      <w:r>
        <w:rPr>
          <w:rFonts w:ascii="微软雅黑" w:eastAsia="微软雅黑" w:hAnsi="微软雅黑" w:cs="微软雅黑" w:hint="eastAsia"/>
          <w:color w:val="000000"/>
          <w:kern w:val="0"/>
          <w:sz w:val="32"/>
          <w:szCs w:val="32"/>
          <w:shd w:val="clear" w:color="auto" w:fill="FFFFFF"/>
        </w:rPr>
        <w:t>其他用于医疗保障方面的支出。</w:t>
      </w:r>
    </w:p>
    <w:p w:rsidR="001463A7" w:rsidRDefault="0090564B">
      <w:pPr>
        <w:widowControl/>
        <w:shd w:val="clear" w:color="auto" w:fill="FFFFFF"/>
        <w:ind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十六、住房保障支出（类）住房改革支出（款）住房公积金（项）：</w:t>
      </w:r>
      <w:r>
        <w:rPr>
          <w:rFonts w:ascii="微软雅黑" w:eastAsia="微软雅黑" w:hAnsi="微软雅黑" w:cs="微软雅黑" w:hint="eastAsia"/>
          <w:color w:val="000000"/>
          <w:kern w:val="0"/>
          <w:sz w:val="32"/>
          <w:szCs w:val="32"/>
          <w:shd w:val="clear" w:color="auto" w:fill="FFFFFF"/>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w:t>
      </w:r>
      <w:r>
        <w:rPr>
          <w:rFonts w:ascii="微软雅黑" w:eastAsia="微软雅黑" w:hAnsi="微软雅黑" w:cs="微软雅黑" w:hint="eastAsia"/>
          <w:color w:val="000000"/>
          <w:kern w:val="0"/>
          <w:sz w:val="32"/>
          <w:szCs w:val="32"/>
          <w:shd w:val="clear" w:color="auto" w:fill="FFFFFF"/>
        </w:rPr>
        <w:lastRenderedPageBreak/>
        <w:t>贴等；事业单位缴存基数包括国家统一规定的岗位工资、薪级工资、绩效工资、艰苦边远地区津贴、特殊岗位津贴等。</w:t>
      </w:r>
    </w:p>
    <w:p w:rsidR="001463A7" w:rsidRDefault="0090564B">
      <w:pPr>
        <w:widowControl/>
        <w:shd w:val="clear" w:color="auto" w:fill="FFFFFF"/>
        <w:ind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十七、住房保障支出（类）住房改革支出（款）购房补贴（项）：</w:t>
      </w:r>
    </w:p>
    <w:p w:rsidR="001463A7" w:rsidRDefault="0090564B">
      <w:pPr>
        <w:widowControl/>
        <w:shd w:val="clear" w:color="auto" w:fill="FFFFFF"/>
        <w:jc w:val="left"/>
        <w:rPr>
          <w:rFonts w:ascii="微软雅黑" w:eastAsia="微软雅黑" w:hAnsi="微软雅黑" w:cs="微软雅黑"/>
          <w:color w:val="000000"/>
          <w:szCs w:val="21"/>
        </w:rPr>
      </w:pPr>
      <w:r>
        <w:rPr>
          <w:rFonts w:ascii="微软雅黑" w:eastAsia="微软雅黑" w:hAnsi="微软雅黑" w:cs="微软雅黑" w:hint="eastAsia"/>
          <w:color w:val="000000"/>
          <w:kern w:val="0"/>
          <w:sz w:val="32"/>
          <w:szCs w:val="32"/>
          <w:shd w:val="clear" w:color="auto" w:fill="FFFFFF"/>
        </w:rPr>
        <w:t>指根据《国务院关于进一步深化城镇住房制度改革加快住房建设的通知》（国发〔1998〕23号）的规定，从1998年下半年停止实物分房后，房价收入比超过4倍以上地区对无房和住房未达标职工发放的住房货币化改革补贴资金。中央行政事业单位从2000年开始发放购房补贴资金，地方行政事业单位从1999年陆续开始发放购房补贴资金。</w:t>
      </w:r>
    </w:p>
    <w:p w:rsidR="001463A7" w:rsidRDefault="0090564B">
      <w:pPr>
        <w:widowControl/>
        <w:shd w:val="clear" w:color="auto" w:fill="FFFFFF"/>
        <w:ind w:firstLine="633"/>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十八、年末结转和结余：</w:t>
      </w:r>
      <w:r>
        <w:rPr>
          <w:rFonts w:ascii="微软雅黑" w:eastAsia="微软雅黑" w:hAnsi="微软雅黑" w:cs="微软雅黑" w:hint="eastAsia"/>
          <w:color w:val="000000"/>
          <w:kern w:val="0"/>
          <w:sz w:val="32"/>
          <w:szCs w:val="32"/>
          <w:shd w:val="clear" w:color="auto" w:fill="FFFFFF"/>
        </w:rPr>
        <w:t>指本年度或以前年度预算安排、因客观条件发生变化无法按原计划实施，需延迟到以后年度按有关规定继续使用的资金。</w:t>
      </w:r>
    </w:p>
    <w:p w:rsidR="001463A7" w:rsidRDefault="0090564B">
      <w:pPr>
        <w:widowControl/>
        <w:shd w:val="clear" w:color="auto" w:fill="FFFFFF"/>
        <w:ind w:firstLineChars="200"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十九、基本支出</w:t>
      </w:r>
      <w:r>
        <w:rPr>
          <w:rFonts w:ascii="微软雅黑" w:eastAsia="微软雅黑" w:hAnsi="微软雅黑" w:cs="微软雅黑" w:hint="eastAsia"/>
          <w:color w:val="000000"/>
          <w:kern w:val="0"/>
          <w:sz w:val="32"/>
          <w:szCs w:val="32"/>
          <w:shd w:val="clear" w:color="auto" w:fill="FFFFFF"/>
        </w:rPr>
        <w:t>：指为保障机构正常运转、完成日常工作任务而发生的人员支出和公用支出。</w:t>
      </w:r>
    </w:p>
    <w:p w:rsidR="001463A7" w:rsidRDefault="0090564B">
      <w:pPr>
        <w:widowControl/>
        <w:shd w:val="clear" w:color="auto" w:fill="FFFFFF"/>
        <w:ind w:firstLineChars="200"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二十、项目支出</w:t>
      </w:r>
      <w:r>
        <w:rPr>
          <w:rFonts w:ascii="微软雅黑" w:eastAsia="微软雅黑" w:hAnsi="微软雅黑" w:cs="微软雅黑" w:hint="eastAsia"/>
          <w:color w:val="000000"/>
          <w:kern w:val="0"/>
          <w:sz w:val="32"/>
          <w:szCs w:val="32"/>
          <w:shd w:val="clear" w:color="auto" w:fill="FFFFFF"/>
        </w:rPr>
        <w:t>：指在基本支出之外为完成特定行政任务和事业发展目标所发生的支出。</w:t>
      </w:r>
    </w:p>
    <w:p w:rsidR="001463A7" w:rsidRDefault="0090564B">
      <w:pPr>
        <w:widowControl/>
        <w:shd w:val="clear" w:color="auto" w:fill="FFFFFF"/>
        <w:ind w:firstLineChars="200" w:firstLine="64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2"/>
          <w:szCs w:val="32"/>
          <w:shd w:val="clear" w:color="auto" w:fill="FFFFFF"/>
        </w:rPr>
        <w:t>二十一、“三公”经费</w:t>
      </w:r>
      <w:r>
        <w:rPr>
          <w:rFonts w:ascii="微软雅黑" w:eastAsia="微软雅黑" w:hAnsi="微软雅黑" w:cs="微软雅黑" w:hint="eastAsia"/>
          <w:color w:val="000000"/>
          <w:kern w:val="0"/>
          <w:sz w:val="32"/>
          <w:szCs w:val="32"/>
          <w:shd w:val="clear" w:color="auto" w:fill="FFFFFF"/>
        </w:rPr>
        <w:t>：纳入省级财政预决算管理的“三</w:t>
      </w:r>
      <w:r>
        <w:rPr>
          <w:rFonts w:ascii="微软雅黑" w:eastAsia="微软雅黑" w:hAnsi="微软雅黑" w:cs="微软雅黑" w:hint="eastAsia"/>
          <w:color w:val="000000"/>
          <w:kern w:val="0"/>
          <w:sz w:val="31"/>
          <w:szCs w:val="31"/>
          <w:shd w:val="clear" w:color="auto" w:fill="FFFFFF"/>
        </w:rPr>
        <w:t>公”经费，是指单位用财政拨款安排的因公出国（境）费、</w:t>
      </w:r>
      <w:r>
        <w:rPr>
          <w:rFonts w:ascii="微软雅黑" w:eastAsia="微软雅黑" w:hAnsi="微软雅黑" w:cs="微软雅黑" w:hint="eastAsia"/>
          <w:color w:val="000000"/>
          <w:kern w:val="0"/>
          <w:sz w:val="32"/>
          <w:szCs w:val="32"/>
          <w:shd w:val="clear" w:color="auto" w:fill="FFFFFF"/>
        </w:rPr>
        <w:t>公务用车购置及运行费和公务接待费。其中，因公出国（境）费反映单位公务出国（境）的国际旅费、国外城市间交通费、住宿费、伙食费、培训费、公杂费等支出；公务用车购置及运</w:t>
      </w:r>
      <w:r>
        <w:rPr>
          <w:rFonts w:ascii="微软雅黑" w:eastAsia="微软雅黑" w:hAnsi="微软雅黑" w:cs="微软雅黑" w:hint="eastAsia"/>
          <w:color w:val="000000"/>
          <w:kern w:val="0"/>
          <w:sz w:val="31"/>
          <w:szCs w:val="31"/>
          <w:shd w:val="clear" w:color="auto" w:fill="FFFFFF"/>
        </w:rPr>
        <w:t>行费反映单位公务用车车辆购置支出（含车辆购置税）及租用费、燃料费、维修费、过路过桥费、保险费、安</w:t>
      </w:r>
      <w:r>
        <w:rPr>
          <w:rFonts w:ascii="微软雅黑" w:eastAsia="微软雅黑" w:hAnsi="微软雅黑" w:cs="微软雅黑" w:hint="eastAsia"/>
          <w:color w:val="000000"/>
          <w:kern w:val="0"/>
          <w:sz w:val="31"/>
          <w:szCs w:val="31"/>
          <w:shd w:val="clear" w:color="auto" w:fill="FFFFFF"/>
        </w:rPr>
        <w:lastRenderedPageBreak/>
        <w:t>全奖励费用等支出；公务接待费反映单位按规定开支的各类公务接待（含外</w:t>
      </w:r>
      <w:r>
        <w:rPr>
          <w:rFonts w:ascii="微软雅黑" w:eastAsia="微软雅黑" w:hAnsi="微软雅黑" w:cs="微软雅黑" w:hint="eastAsia"/>
          <w:color w:val="000000"/>
          <w:kern w:val="0"/>
          <w:sz w:val="32"/>
          <w:szCs w:val="32"/>
          <w:shd w:val="clear" w:color="auto" w:fill="FFFFFF"/>
        </w:rPr>
        <w:t>宾接待）支出。</w:t>
      </w:r>
    </w:p>
    <w:p w:rsidR="001463A7" w:rsidRDefault="0090564B">
      <w:pPr>
        <w:widowControl/>
        <w:shd w:val="clear" w:color="auto" w:fill="FFFFFF"/>
        <w:ind w:firstLineChars="200" w:firstLine="620"/>
        <w:jc w:val="left"/>
        <w:rPr>
          <w:rFonts w:ascii="微软雅黑" w:eastAsia="微软雅黑" w:hAnsi="微软雅黑" w:cs="微软雅黑"/>
          <w:color w:val="000000"/>
          <w:szCs w:val="21"/>
        </w:rPr>
      </w:pPr>
      <w:r>
        <w:rPr>
          <w:rFonts w:ascii="微软雅黑" w:eastAsia="微软雅黑" w:hAnsi="微软雅黑" w:cs="微软雅黑" w:hint="eastAsia"/>
          <w:b/>
          <w:color w:val="000000"/>
          <w:kern w:val="0"/>
          <w:sz w:val="31"/>
          <w:szCs w:val="31"/>
          <w:shd w:val="clear" w:color="auto" w:fill="FFFFFF"/>
        </w:rPr>
        <w:t>二十二、机关运行经费</w:t>
      </w:r>
      <w:r>
        <w:rPr>
          <w:rFonts w:ascii="微软雅黑" w:eastAsia="微软雅黑" w:hAnsi="微软雅黑" w:cs="微软雅黑" w:hint="eastAsia"/>
          <w:color w:val="000000"/>
          <w:kern w:val="0"/>
          <w:sz w:val="31"/>
          <w:szCs w:val="31"/>
          <w:shd w:val="clear" w:color="auto" w:fill="FFFFFF"/>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微软雅黑" w:eastAsia="微软雅黑" w:hAnsi="微软雅黑" w:cs="微软雅黑" w:hint="eastAsia"/>
          <w:color w:val="000000"/>
          <w:kern w:val="0"/>
          <w:sz w:val="32"/>
          <w:szCs w:val="32"/>
          <w:shd w:val="clear" w:color="auto" w:fill="FFFFFF"/>
        </w:rPr>
        <w:t>他费用。</w:t>
      </w:r>
    </w:p>
    <w:p w:rsidR="001463A7" w:rsidRDefault="0090564B">
      <w:pPr>
        <w:widowControl/>
        <w:shd w:val="clear" w:color="auto" w:fill="FFFFFF"/>
        <w:jc w:val="left"/>
        <w:rPr>
          <w:rFonts w:ascii="微软雅黑" w:eastAsia="微软雅黑" w:hAnsi="微软雅黑" w:cs="微软雅黑"/>
          <w:color w:val="000000"/>
          <w:szCs w:val="21"/>
        </w:rPr>
      </w:pPr>
      <w:r>
        <w:rPr>
          <w:rFonts w:ascii="微软雅黑" w:eastAsia="微软雅黑" w:hAnsi="微软雅黑" w:cs="微软雅黑" w:hint="eastAsia"/>
          <w:color w:val="000000"/>
          <w:kern w:val="0"/>
          <w:sz w:val="32"/>
          <w:szCs w:val="32"/>
          <w:shd w:val="clear" w:color="auto" w:fill="FFFFFF"/>
        </w:rPr>
        <w:t> </w:t>
      </w:r>
    </w:p>
    <w:p w:rsidR="001463A7" w:rsidRDefault="001463A7">
      <w:pPr>
        <w:widowControl/>
        <w:shd w:val="clear" w:color="auto" w:fill="FFFFFF"/>
        <w:jc w:val="left"/>
        <w:rPr>
          <w:rFonts w:ascii="微软雅黑" w:eastAsia="微软雅黑" w:hAnsi="微软雅黑" w:cs="微软雅黑"/>
          <w:color w:val="000000"/>
          <w:szCs w:val="21"/>
        </w:rPr>
      </w:pPr>
    </w:p>
    <w:p w:rsidR="001463A7" w:rsidRDefault="0090564B">
      <w:pPr>
        <w:pStyle w:val="a6"/>
        <w:widowControl/>
        <w:shd w:val="clear" w:color="auto" w:fill="FFFFFF"/>
        <w:jc w:val="center"/>
        <w:rPr>
          <w:rFonts w:ascii="微软雅黑" w:eastAsia="微软雅黑" w:hAnsi="微软雅黑" w:cs="微软雅黑"/>
          <w:color w:val="000000"/>
          <w:sz w:val="21"/>
          <w:szCs w:val="21"/>
        </w:rPr>
      </w:pPr>
      <w:r>
        <w:rPr>
          <w:rFonts w:ascii="微软雅黑" w:eastAsia="微软雅黑" w:hAnsi="微软雅黑" w:cs="微软雅黑" w:hint="eastAsia"/>
          <w:color w:val="000000"/>
          <w:sz w:val="72"/>
          <w:szCs w:val="72"/>
          <w:shd w:val="clear" w:color="auto" w:fill="FFFFFF"/>
        </w:rPr>
        <w:t>  </w:t>
      </w:r>
    </w:p>
    <w:p w:rsidR="001463A7" w:rsidRDefault="001463A7">
      <w:pPr>
        <w:pStyle w:val="a6"/>
        <w:widowControl/>
        <w:shd w:val="clear" w:color="auto" w:fill="FFFFFF"/>
        <w:jc w:val="center"/>
        <w:rPr>
          <w:sz w:val="72"/>
          <w:szCs w:val="72"/>
        </w:rPr>
      </w:pPr>
    </w:p>
    <w:p w:rsidR="001463A7" w:rsidRDefault="001463A7">
      <w:pPr>
        <w:pStyle w:val="a6"/>
        <w:widowControl/>
        <w:shd w:val="clear" w:color="auto" w:fill="FFFFFF"/>
        <w:jc w:val="center"/>
        <w:rPr>
          <w:sz w:val="72"/>
          <w:szCs w:val="72"/>
        </w:rPr>
      </w:pPr>
    </w:p>
    <w:p w:rsidR="001463A7" w:rsidRDefault="001463A7">
      <w:pPr>
        <w:pStyle w:val="a6"/>
        <w:widowControl/>
        <w:shd w:val="clear" w:color="auto" w:fill="FFFFFF"/>
        <w:jc w:val="center"/>
        <w:rPr>
          <w:sz w:val="72"/>
          <w:szCs w:val="72"/>
        </w:rPr>
      </w:pPr>
    </w:p>
    <w:p w:rsidR="001463A7" w:rsidRDefault="001463A7">
      <w:pPr>
        <w:pStyle w:val="a6"/>
        <w:widowControl/>
        <w:shd w:val="clear" w:color="auto" w:fill="FFFFFF"/>
        <w:jc w:val="center"/>
        <w:rPr>
          <w:sz w:val="72"/>
          <w:szCs w:val="72"/>
        </w:rPr>
      </w:pPr>
    </w:p>
    <w:p w:rsidR="001463A7" w:rsidRDefault="001463A7">
      <w:pPr>
        <w:pStyle w:val="a6"/>
        <w:widowControl/>
        <w:shd w:val="clear" w:color="auto" w:fill="FFFFFF"/>
        <w:jc w:val="center"/>
        <w:rPr>
          <w:sz w:val="72"/>
          <w:szCs w:val="72"/>
        </w:rPr>
      </w:pPr>
    </w:p>
    <w:p w:rsidR="001463A7" w:rsidRDefault="001463A7">
      <w:pPr>
        <w:pStyle w:val="a6"/>
        <w:widowControl/>
        <w:shd w:val="clear" w:color="auto" w:fill="FFFFFF"/>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1463A7">
      <w:pPr>
        <w:pStyle w:val="Default"/>
        <w:jc w:val="center"/>
        <w:rPr>
          <w:sz w:val="72"/>
          <w:szCs w:val="72"/>
        </w:rPr>
      </w:pPr>
    </w:p>
    <w:p w:rsidR="001463A7" w:rsidRDefault="0090564B">
      <w:pPr>
        <w:pStyle w:val="Default"/>
        <w:jc w:val="center"/>
        <w:rPr>
          <w:sz w:val="72"/>
          <w:szCs w:val="72"/>
        </w:rPr>
      </w:pPr>
      <w:r>
        <w:rPr>
          <w:rFonts w:hint="eastAsia"/>
          <w:sz w:val="72"/>
          <w:szCs w:val="72"/>
        </w:rPr>
        <w:t>第五部分</w:t>
      </w:r>
    </w:p>
    <w:p w:rsidR="001463A7" w:rsidRDefault="001463A7">
      <w:pPr>
        <w:jc w:val="center"/>
        <w:rPr>
          <w:rFonts w:ascii="黑体" w:eastAsia="黑体" w:cs="黑体"/>
          <w:color w:val="000000"/>
          <w:kern w:val="0"/>
          <w:sz w:val="70"/>
          <w:szCs w:val="70"/>
        </w:rPr>
      </w:pPr>
    </w:p>
    <w:p w:rsidR="001463A7" w:rsidRDefault="0090564B">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1463A7" w:rsidRDefault="001463A7">
      <w:pPr>
        <w:jc w:val="center"/>
        <w:rPr>
          <w:rFonts w:ascii="黑体" w:eastAsia="黑体" w:cs="黑体"/>
          <w:color w:val="000000"/>
          <w:kern w:val="0"/>
          <w:sz w:val="70"/>
          <w:szCs w:val="70"/>
        </w:rPr>
      </w:pPr>
    </w:p>
    <w:p w:rsidR="001463A7" w:rsidRDefault="001463A7">
      <w:pPr>
        <w:jc w:val="center"/>
        <w:rPr>
          <w:rFonts w:ascii="黑体" w:eastAsia="黑体" w:cs="黑体"/>
          <w:color w:val="000000"/>
          <w:kern w:val="0"/>
          <w:sz w:val="70"/>
          <w:szCs w:val="70"/>
        </w:rPr>
      </w:pPr>
    </w:p>
    <w:p w:rsidR="001463A7" w:rsidRDefault="001463A7">
      <w:pPr>
        <w:jc w:val="center"/>
        <w:rPr>
          <w:rFonts w:ascii="黑体" w:eastAsia="黑体" w:cs="黑体"/>
          <w:color w:val="000000"/>
          <w:kern w:val="0"/>
          <w:sz w:val="70"/>
          <w:szCs w:val="70"/>
        </w:rPr>
      </w:pPr>
    </w:p>
    <w:p w:rsidR="001463A7" w:rsidRDefault="001463A7">
      <w:pPr>
        <w:jc w:val="center"/>
        <w:rPr>
          <w:rFonts w:ascii="黑体" w:eastAsia="黑体" w:cs="黑体"/>
          <w:color w:val="000000"/>
          <w:kern w:val="0"/>
          <w:sz w:val="70"/>
          <w:szCs w:val="70"/>
        </w:rPr>
      </w:pPr>
    </w:p>
    <w:p w:rsidR="001463A7" w:rsidRDefault="001463A7">
      <w:pPr>
        <w:jc w:val="center"/>
        <w:rPr>
          <w:rFonts w:ascii="黑体" w:eastAsia="黑体" w:cs="黑体"/>
          <w:color w:val="000000"/>
          <w:kern w:val="0"/>
          <w:sz w:val="70"/>
          <w:szCs w:val="70"/>
        </w:rPr>
      </w:pPr>
    </w:p>
    <w:p w:rsidR="001463A7" w:rsidRDefault="001463A7">
      <w:pPr>
        <w:ind w:firstLineChars="200" w:firstLine="1400"/>
        <w:jc w:val="center"/>
        <w:rPr>
          <w:rFonts w:ascii="黑体" w:eastAsia="黑体" w:cs="黑体"/>
          <w:color w:val="000000"/>
          <w:kern w:val="0"/>
          <w:sz w:val="70"/>
          <w:szCs w:val="70"/>
        </w:rPr>
      </w:pPr>
    </w:p>
    <w:p w:rsidR="001463A7" w:rsidRDefault="001463A7">
      <w:pPr>
        <w:ind w:firstLineChars="200" w:firstLine="1400"/>
        <w:jc w:val="center"/>
        <w:rPr>
          <w:rFonts w:ascii="黑体" w:eastAsia="黑体" w:cs="黑体"/>
          <w:color w:val="000000"/>
          <w:kern w:val="0"/>
          <w:sz w:val="70"/>
          <w:szCs w:val="70"/>
        </w:rPr>
      </w:pPr>
    </w:p>
    <w:p w:rsidR="001463A7" w:rsidRDefault="001463A7">
      <w:pPr>
        <w:ind w:firstLineChars="200" w:firstLine="1400"/>
        <w:jc w:val="center"/>
        <w:rPr>
          <w:rFonts w:ascii="黑体" w:eastAsia="黑体" w:cs="黑体"/>
          <w:color w:val="000000"/>
          <w:kern w:val="0"/>
          <w:sz w:val="70"/>
          <w:szCs w:val="70"/>
        </w:rPr>
      </w:pPr>
    </w:p>
    <w:p w:rsidR="001463A7" w:rsidRDefault="001463A7" w:rsidP="007C38BF">
      <w:pPr>
        <w:ind w:firstLineChars="200" w:firstLine="643"/>
        <w:jc w:val="center"/>
        <w:rPr>
          <w:rFonts w:asciiTheme="minorEastAsia" w:hAnsiTheme="minorEastAsia" w:cs="黑体"/>
          <w:b/>
          <w:color w:val="000000"/>
          <w:kern w:val="0"/>
          <w:sz w:val="32"/>
          <w:szCs w:val="32"/>
        </w:rPr>
      </w:pPr>
    </w:p>
    <w:p w:rsidR="001463A7" w:rsidRDefault="001463A7" w:rsidP="007C38BF">
      <w:pPr>
        <w:ind w:firstLineChars="200" w:firstLine="643"/>
        <w:jc w:val="center"/>
        <w:rPr>
          <w:rFonts w:asciiTheme="minorEastAsia" w:hAnsiTheme="minorEastAsia" w:cs="黑体"/>
          <w:b/>
          <w:color w:val="000000"/>
          <w:kern w:val="0"/>
          <w:sz w:val="32"/>
          <w:szCs w:val="32"/>
        </w:rPr>
      </w:pPr>
    </w:p>
    <w:p w:rsidR="001463A7" w:rsidRDefault="0090564B">
      <w:pPr>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2020年度单位整体支出绩效评价报告</w:t>
      </w:r>
    </w:p>
    <w:p w:rsidR="001463A7" w:rsidRDefault="001463A7">
      <w:pPr>
        <w:jc w:val="center"/>
        <w:rPr>
          <w:rFonts w:asciiTheme="minorEastAsia" w:hAnsiTheme="minorEastAsia" w:cs="黑体"/>
          <w:color w:val="000000"/>
          <w:kern w:val="0"/>
          <w:sz w:val="32"/>
          <w:szCs w:val="32"/>
        </w:rPr>
      </w:pPr>
    </w:p>
    <w:p w:rsidR="001463A7" w:rsidRDefault="0090564B">
      <w:pPr>
        <w:widowControl/>
        <w:shd w:val="clear" w:color="auto" w:fill="FFFFFF"/>
        <w:ind w:firstLineChars="200" w:firstLine="620"/>
        <w:jc w:val="left"/>
        <w:rPr>
          <w:rFonts w:ascii="微软雅黑" w:eastAsia="微软雅黑" w:hAnsi="微软雅黑" w:cs="微软雅黑"/>
          <w:color w:val="000000"/>
          <w:kern w:val="0"/>
          <w:sz w:val="31"/>
          <w:szCs w:val="31"/>
          <w:shd w:val="clear" w:color="auto" w:fill="FFFFFF"/>
        </w:rPr>
      </w:pPr>
      <w:r>
        <w:rPr>
          <w:rFonts w:ascii="微软雅黑" w:eastAsia="微软雅黑" w:hAnsi="微软雅黑" w:cs="微软雅黑" w:hint="eastAsia"/>
          <w:color w:val="000000"/>
          <w:kern w:val="0"/>
          <w:sz w:val="31"/>
          <w:szCs w:val="31"/>
          <w:shd w:val="clear" w:color="auto" w:fill="FFFFFF"/>
        </w:rPr>
        <w:t>根据涉密信息管理要求，</w:t>
      </w:r>
      <w:r w:rsidR="00753FE6">
        <w:rPr>
          <w:rFonts w:ascii="微软雅黑" w:eastAsia="微软雅黑" w:hAnsi="微软雅黑" w:cs="微软雅黑" w:hint="eastAsia"/>
          <w:color w:val="000000"/>
          <w:kern w:val="0"/>
          <w:sz w:val="31"/>
          <w:szCs w:val="31"/>
          <w:shd w:val="clear" w:color="auto" w:fill="FFFFFF"/>
        </w:rPr>
        <w:t>省新开铺强制隔离戒毒所</w:t>
      </w:r>
      <w:r>
        <w:rPr>
          <w:rFonts w:ascii="微软雅黑" w:eastAsia="微软雅黑" w:hAnsi="微软雅黑" w:cs="微软雅黑" w:hint="eastAsia"/>
          <w:color w:val="000000"/>
          <w:kern w:val="0"/>
          <w:sz w:val="31"/>
          <w:szCs w:val="31"/>
          <w:shd w:val="clear" w:color="auto" w:fill="FFFFFF"/>
        </w:rPr>
        <w:t>2020年度整体支出绩效评价报告依法不予公开。</w:t>
      </w:r>
    </w:p>
    <w:p w:rsidR="001463A7" w:rsidRDefault="001463A7">
      <w:pPr>
        <w:pStyle w:val="Default"/>
        <w:jc w:val="center"/>
        <w:rPr>
          <w:sz w:val="72"/>
          <w:szCs w:val="72"/>
        </w:rPr>
      </w:pPr>
    </w:p>
    <w:p w:rsidR="001463A7" w:rsidRDefault="001463A7">
      <w:pPr>
        <w:ind w:firstLineChars="200" w:firstLine="640"/>
        <w:jc w:val="left"/>
        <w:rPr>
          <w:rFonts w:asciiTheme="minorEastAsia" w:hAnsiTheme="minorEastAsia" w:cs="黑体"/>
          <w:color w:val="000000"/>
          <w:kern w:val="0"/>
          <w:sz w:val="32"/>
          <w:szCs w:val="32"/>
        </w:rPr>
      </w:pPr>
    </w:p>
    <w:sectPr w:rsidR="001463A7" w:rsidSect="001463A7">
      <w:pgSz w:w="11906" w:h="16838"/>
      <w:pgMar w:top="1134" w:right="1009" w:bottom="1204" w:left="143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8FB" w:rsidRDefault="001318FB" w:rsidP="007C38BF">
      <w:r>
        <w:separator/>
      </w:r>
    </w:p>
  </w:endnote>
  <w:endnote w:type="continuationSeparator" w:id="1">
    <w:p w:rsidR="001318FB" w:rsidRDefault="001318FB" w:rsidP="007C3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8FB" w:rsidRDefault="001318FB" w:rsidP="007C38BF">
      <w:r>
        <w:separator/>
      </w:r>
    </w:p>
  </w:footnote>
  <w:footnote w:type="continuationSeparator" w:id="1">
    <w:p w:rsidR="001318FB" w:rsidRDefault="001318FB" w:rsidP="007C3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41EA"/>
    <w:multiLevelType w:val="singleLevel"/>
    <w:tmpl w:val="012241EA"/>
    <w:lvl w:ilvl="0">
      <w:start w:val="1"/>
      <w:numFmt w:val="chineseCounting"/>
      <w:suff w:val="nothing"/>
      <w:lvlText w:val="（%1）"/>
      <w:lvlJc w:val="left"/>
      <w:pPr>
        <w:ind w:left="481" w:firstLine="0"/>
      </w:pPr>
      <w:rPr>
        <w:rFonts w:hint="eastAsia"/>
      </w:rPr>
    </w:lvl>
  </w:abstractNum>
  <w:abstractNum w:abstractNumId="1">
    <w:nsid w:val="7D1A1AEA"/>
    <w:multiLevelType w:val="singleLevel"/>
    <w:tmpl w:val="7D1A1AEA"/>
    <w:lvl w:ilvl="0">
      <w:start w:val="1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A3F69"/>
    <w:rsid w:val="00103957"/>
    <w:rsid w:val="001318FB"/>
    <w:rsid w:val="001463A7"/>
    <w:rsid w:val="00152C6D"/>
    <w:rsid w:val="00162D39"/>
    <w:rsid w:val="001678BD"/>
    <w:rsid w:val="001A67DB"/>
    <w:rsid w:val="001C3C29"/>
    <w:rsid w:val="001D51E5"/>
    <w:rsid w:val="001E080D"/>
    <w:rsid w:val="001E53D0"/>
    <w:rsid w:val="001F0C3B"/>
    <w:rsid w:val="00202C82"/>
    <w:rsid w:val="00214427"/>
    <w:rsid w:val="00226CB7"/>
    <w:rsid w:val="00252A05"/>
    <w:rsid w:val="00264552"/>
    <w:rsid w:val="00264EF9"/>
    <w:rsid w:val="00265724"/>
    <w:rsid w:val="0027426B"/>
    <w:rsid w:val="002E0A30"/>
    <w:rsid w:val="003130C4"/>
    <w:rsid w:val="00316C4B"/>
    <w:rsid w:val="0032192B"/>
    <w:rsid w:val="003479BD"/>
    <w:rsid w:val="003606B3"/>
    <w:rsid w:val="0037197D"/>
    <w:rsid w:val="003768D5"/>
    <w:rsid w:val="003C47E6"/>
    <w:rsid w:val="003C4FC2"/>
    <w:rsid w:val="00416E61"/>
    <w:rsid w:val="0042790C"/>
    <w:rsid w:val="00442B55"/>
    <w:rsid w:val="004506F9"/>
    <w:rsid w:val="004717A2"/>
    <w:rsid w:val="00473DF3"/>
    <w:rsid w:val="00487911"/>
    <w:rsid w:val="00491741"/>
    <w:rsid w:val="004D203B"/>
    <w:rsid w:val="004E26A1"/>
    <w:rsid w:val="00500E5F"/>
    <w:rsid w:val="005122EF"/>
    <w:rsid w:val="0051441A"/>
    <w:rsid w:val="00517C33"/>
    <w:rsid w:val="00523644"/>
    <w:rsid w:val="0053209D"/>
    <w:rsid w:val="0054069E"/>
    <w:rsid w:val="00544866"/>
    <w:rsid w:val="005767CC"/>
    <w:rsid w:val="00590D9F"/>
    <w:rsid w:val="00595D26"/>
    <w:rsid w:val="005A74E6"/>
    <w:rsid w:val="005B404E"/>
    <w:rsid w:val="005B6990"/>
    <w:rsid w:val="005D4D55"/>
    <w:rsid w:val="005E2CFB"/>
    <w:rsid w:val="005F3D1C"/>
    <w:rsid w:val="00602BC4"/>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53FE6"/>
    <w:rsid w:val="00787B42"/>
    <w:rsid w:val="007C38BF"/>
    <w:rsid w:val="007C4539"/>
    <w:rsid w:val="007F3657"/>
    <w:rsid w:val="00812ED5"/>
    <w:rsid w:val="008235BD"/>
    <w:rsid w:val="008277D9"/>
    <w:rsid w:val="0084478C"/>
    <w:rsid w:val="0086638C"/>
    <w:rsid w:val="008831B0"/>
    <w:rsid w:val="008A3E8D"/>
    <w:rsid w:val="008F5DF0"/>
    <w:rsid w:val="0090564B"/>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168DB"/>
    <w:rsid w:val="00B211D6"/>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DF8"/>
    <w:rsid w:val="00DD5FE9"/>
    <w:rsid w:val="00E00C7A"/>
    <w:rsid w:val="00E30C0C"/>
    <w:rsid w:val="00E37D6C"/>
    <w:rsid w:val="00E55B68"/>
    <w:rsid w:val="00E67BE6"/>
    <w:rsid w:val="00E8683C"/>
    <w:rsid w:val="00EA2B72"/>
    <w:rsid w:val="00F74360"/>
    <w:rsid w:val="00FB462F"/>
    <w:rsid w:val="00FE16FA"/>
    <w:rsid w:val="00FE328A"/>
    <w:rsid w:val="00FE6269"/>
    <w:rsid w:val="00FF5CD6"/>
    <w:rsid w:val="01C362AF"/>
    <w:rsid w:val="051301E5"/>
    <w:rsid w:val="054A5C8E"/>
    <w:rsid w:val="09061F17"/>
    <w:rsid w:val="09981446"/>
    <w:rsid w:val="0BDA53EE"/>
    <w:rsid w:val="0BEC3289"/>
    <w:rsid w:val="0E735DCE"/>
    <w:rsid w:val="114C0B1C"/>
    <w:rsid w:val="14602858"/>
    <w:rsid w:val="151F2F4B"/>
    <w:rsid w:val="17665DF0"/>
    <w:rsid w:val="18802A10"/>
    <w:rsid w:val="196F34AA"/>
    <w:rsid w:val="198566B2"/>
    <w:rsid w:val="1D9B4440"/>
    <w:rsid w:val="247E6D98"/>
    <w:rsid w:val="262916A3"/>
    <w:rsid w:val="2A224B6D"/>
    <w:rsid w:val="2A4F3A62"/>
    <w:rsid w:val="2AE91312"/>
    <w:rsid w:val="2C036B65"/>
    <w:rsid w:val="2C9E6DBA"/>
    <w:rsid w:val="2EF817B9"/>
    <w:rsid w:val="2EFE0AA5"/>
    <w:rsid w:val="2FCE709F"/>
    <w:rsid w:val="2FEF1E02"/>
    <w:rsid w:val="38AC3AB5"/>
    <w:rsid w:val="3E553D76"/>
    <w:rsid w:val="3EB75BCA"/>
    <w:rsid w:val="41D230D4"/>
    <w:rsid w:val="4C752BC9"/>
    <w:rsid w:val="4D296CBB"/>
    <w:rsid w:val="4E29459F"/>
    <w:rsid w:val="4E9029A1"/>
    <w:rsid w:val="4F8817E1"/>
    <w:rsid w:val="55CC6762"/>
    <w:rsid w:val="568C2CDD"/>
    <w:rsid w:val="5C8438DC"/>
    <w:rsid w:val="60671A8B"/>
    <w:rsid w:val="60C0519B"/>
    <w:rsid w:val="63630DC5"/>
    <w:rsid w:val="65F04066"/>
    <w:rsid w:val="67BC2354"/>
    <w:rsid w:val="6E005273"/>
    <w:rsid w:val="6F585766"/>
    <w:rsid w:val="726E6E68"/>
    <w:rsid w:val="77F10586"/>
    <w:rsid w:val="798A7F69"/>
    <w:rsid w:val="799D0057"/>
    <w:rsid w:val="7CE657DB"/>
    <w:rsid w:val="7CF45798"/>
    <w:rsid w:val="7DA24258"/>
    <w:rsid w:val="7E9648B2"/>
    <w:rsid w:val="7FC421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3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463A7"/>
    <w:rPr>
      <w:sz w:val="18"/>
      <w:szCs w:val="18"/>
    </w:rPr>
  </w:style>
  <w:style w:type="paragraph" w:styleId="a4">
    <w:name w:val="footer"/>
    <w:basedOn w:val="a"/>
    <w:link w:val="Char0"/>
    <w:uiPriority w:val="99"/>
    <w:unhideWhenUsed/>
    <w:qFormat/>
    <w:rsid w:val="001463A7"/>
    <w:pPr>
      <w:tabs>
        <w:tab w:val="center" w:pos="4153"/>
        <w:tab w:val="right" w:pos="8306"/>
      </w:tabs>
      <w:snapToGrid w:val="0"/>
      <w:jc w:val="left"/>
    </w:pPr>
    <w:rPr>
      <w:sz w:val="18"/>
      <w:szCs w:val="18"/>
    </w:rPr>
  </w:style>
  <w:style w:type="paragraph" w:styleId="a5">
    <w:name w:val="header"/>
    <w:basedOn w:val="a"/>
    <w:link w:val="Char1"/>
    <w:uiPriority w:val="99"/>
    <w:unhideWhenUsed/>
    <w:rsid w:val="001463A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1463A7"/>
    <w:rPr>
      <w:sz w:val="24"/>
    </w:rPr>
  </w:style>
  <w:style w:type="character" w:styleId="a7">
    <w:name w:val="FollowedHyperlink"/>
    <w:basedOn w:val="a0"/>
    <w:uiPriority w:val="99"/>
    <w:semiHidden/>
    <w:unhideWhenUsed/>
    <w:rsid w:val="001463A7"/>
    <w:rPr>
      <w:color w:val="0066CC"/>
      <w:u w:val="single"/>
    </w:rPr>
  </w:style>
  <w:style w:type="character" w:styleId="a8">
    <w:name w:val="Hyperlink"/>
    <w:basedOn w:val="a0"/>
    <w:uiPriority w:val="99"/>
    <w:semiHidden/>
    <w:unhideWhenUsed/>
    <w:rsid w:val="001463A7"/>
    <w:rPr>
      <w:color w:val="0066CC"/>
      <w:u w:val="single"/>
    </w:rPr>
  </w:style>
  <w:style w:type="character" w:customStyle="1" w:styleId="Char1">
    <w:name w:val="页眉 Char"/>
    <w:basedOn w:val="a0"/>
    <w:link w:val="a5"/>
    <w:uiPriority w:val="99"/>
    <w:qFormat/>
    <w:rsid w:val="001463A7"/>
    <w:rPr>
      <w:sz w:val="18"/>
      <w:szCs w:val="18"/>
    </w:rPr>
  </w:style>
  <w:style w:type="character" w:customStyle="1" w:styleId="Char0">
    <w:name w:val="页脚 Char"/>
    <w:basedOn w:val="a0"/>
    <w:link w:val="a4"/>
    <w:uiPriority w:val="99"/>
    <w:qFormat/>
    <w:rsid w:val="001463A7"/>
    <w:rPr>
      <w:sz w:val="18"/>
      <w:szCs w:val="18"/>
    </w:rPr>
  </w:style>
  <w:style w:type="paragraph" w:customStyle="1" w:styleId="Default">
    <w:name w:val="Default"/>
    <w:qFormat/>
    <w:rsid w:val="001463A7"/>
    <w:pPr>
      <w:widowControl w:val="0"/>
      <w:autoSpaceDE w:val="0"/>
      <w:autoSpaceDN w:val="0"/>
      <w:adjustRightInd w:val="0"/>
    </w:pPr>
    <w:rPr>
      <w:rFonts w:ascii="黑体" w:eastAsia="黑体" w:cs="黑体"/>
      <w:color w:val="000000"/>
      <w:sz w:val="24"/>
      <w:szCs w:val="24"/>
    </w:rPr>
  </w:style>
  <w:style w:type="paragraph" w:styleId="a9">
    <w:name w:val="List Paragraph"/>
    <w:basedOn w:val="a"/>
    <w:uiPriority w:val="34"/>
    <w:qFormat/>
    <w:rsid w:val="001463A7"/>
    <w:pPr>
      <w:ind w:firstLineChars="200" w:firstLine="420"/>
    </w:pPr>
  </w:style>
  <w:style w:type="character" w:customStyle="1" w:styleId="Char">
    <w:name w:val="批注框文本 Char"/>
    <w:basedOn w:val="a0"/>
    <w:link w:val="a3"/>
    <w:uiPriority w:val="99"/>
    <w:semiHidden/>
    <w:rsid w:val="001463A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AD695-5494-44B7-BD4E-A342C053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1163</Words>
  <Characters>6633</Characters>
  <Application>Microsoft Office Word</Application>
  <DocSecurity>0</DocSecurity>
  <Lines>55</Lines>
  <Paragraphs>15</Paragraphs>
  <ScaleCrop>false</ScaleCrop>
  <Company>Microsoft</Company>
  <LinksUpToDate>false</LinksUpToDate>
  <CharactersWithSpaces>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70</cp:revision>
  <cp:lastPrinted>2021-08-13T07:57:00Z</cp:lastPrinted>
  <dcterms:created xsi:type="dcterms:W3CDTF">2020-07-02T02:32:00Z</dcterms:created>
  <dcterms:modified xsi:type="dcterms:W3CDTF">2021-09-13T02:03:00Z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B4FC511957BE4439AB5CE52394739323</vt:lpwstr>
  </property>
</Properties>
</file>